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30"/>
          <w:szCs w:val="30"/>
        </w:rPr>
      </w:pPr>
      <w:r>
        <w:rPr>
          <w:rFonts w:hint="eastAsia" w:ascii="微软雅黑" w:hAnsi="微软雅黑" w:eastAsia="微软雅黑" w:cs="微软雅黑"/>
          <w:i w:val="0"/>
          <w:iCs w:val="0"/>
          <w:caps w:val="0"/>
          <w:color w:val="4B4B4B"/>
          <w:spacing w:val="0"/>
          <w:sz w:val="30"/>
          <w:szCs w:val="30"/>
          <w:shd w:val="clear" w:fill="FFFFFF"/>
        </w:rPr>
        <w:t>教育部关于印发《高等学校实验室安全</w:t>
      </w:r>
      <w:r>
        <w:rPr>
          <w:rFonts w:hint="eastAsia" w:ascii="微软雅黑" w:hAnsi="微软雅黑" w:eastAsia="微软雅黑" w:cs="微软雅黑"/>
          <w:i w:val="0"/>
          <w:iCs w:val="0"/>
          <w:caps w:val="0"/>
          <w:color w:val="4B4B4B"/>
          <w:spacing w:val="0"/>
          <w:sz w:val="30"/>
          <w:szCs w:val="30"/>
          <w:shd w:val="clear" w:fill="FFFFFF"/>
        </w:rPr>
        <w:br w:type="textWrapping"/>
      </w:r>
      <w:r>
        <w:rPr>
          <w:rFonts w:hint="eastAsia" w:ascii="微软雅黑" w:hAnsi="微软雅黑" w:eastAsia="微软雅黑" w:cs="微软雅黑"/>
          <w:i w:val="0"/>
          <w:iCs w:val="0"/>
          <w:caps w:val="0"/>
          <w:color w:val="4B4B4B"/>
          <w:spacing w:val="0"/>
          <w:sz w:val="30"/>
          <w:szCs w:val="30"/>
          <w:shd w:val="clear" w:fill="FFFFFF"/>
        </w:rPr>
        <w:t>分级分类管理办法（试行）》的通知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5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教科信〔2024〕4号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各省、自治区、直辖市教育厅（教委），新疆生产建设兵团教育局，有关部门（单位）教育司（局），部属各高等学校、部省合建各高等学校：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现将《高等学校实验室安全分级分类管理办法（试行）》印发给你们，请结合本地本单位实际，认真组织实施。实际工作中如有意见建议，请及时反馈我部。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教　育　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2024年3月26日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shd w:val="clear" w:fill="FFFFFF"/>
        </w:rPr>
        <w:t>高等学校实验室安全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shd w:val="clear" w:fill="FFFFFF"/>
        </w:rPr>
        <w:t>分级分类管理办法（试行）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shd w:val="clear" w:fill="FFFFFF"/>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第一条 为加强高等学校（以下简称高校）实验室安全精细化管理，提高高校实验室安全风险防范的针对性和有效性，依据《中华人民共和国安全生产法》等法律法规，结合高校实际情况，制定本办法。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第二条 本办法中的实验室，是指隶属于高校从事教学、科研等实验、实训活动的场所及其所属设施，以房间为管理单元。中试性质和工业化放大性质的试验场所及其所属设施不在本办法管理范围内，高校如涉及相关场所应根据相关法律法规及标准规范制定相关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第三条 本办法对高校实验室安全分级分类管理的责任体系、工作原则、管理要求等作出相关规定。高校可以依据本办法，结合自身实际，制定并实施适用于本校的实验室安全分级分类管理办法。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shd w:val="clear" w:fill="FFFFFF"/>
        </w:rPr>
        <w:t>第二章 管理体系与职责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第四条 高校实验室安全工作领导机构全面负责指导本校实验室开展安全分级分类管理工作。高校党政主要负责人是第一责任人，分管实验室工作的校领导是重要领导责任人，协助第一责任人负责实验室安全分级分类工作，其他校领导在分管工作范围内对实验室安全分级分类工作负有支持、监督和指导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第五条 学校实验室安全主管职能部门牵头制定本校实验室安全分级分类管理办法，统筹开展全校实验室分级分类认定工作，并建立本校实验室安全分级分类管理台账，及时录入信息化管理系统或电子造册。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第六条 二级教学科研单位（以下简称二级单位）作为实验室安全分级分类管理的责任单位，负责组织本单位实验室落实分级分类及安全管理要求，审核确认所属实验室类别和风险等级，建立本单位实验室安全分级分类管理台账，提交学校实验室安全主管职能部门备案。二级单位党政负责人是本单位实验室安全分级分类管理工作主要领导责任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第七条 实验室应按照本校实验室安全分级分类管理办法要求，判定本实验室类别和风险等级，并报本实验室所属二级单位审核确认。实验室负责人是本实验室安全分级分类管理工作的直接责任人。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shd w:val="clear" w:fill="FFFFFF"/>
        </w:rPr>
        <w:t>第三章 分级分类原则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第八条 实验室安全分级是指根据实验室中存在的危险源及其存量进行风险评价，判定本实验室安全等级。实验室安全等级可分为Ⅰ、Ⅱ、Ⅲ、Ⅳ级（或红、橙、黄、蓝级），分别对应重大风险、高风险、中风险、低风险等级的实验室。等级划分可参考《高校实验室安全分级表》（附件1）和《高校实验室安全风险评价表》（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第九条 实验室安全分类是指依据实验室中存在的主要危险源类别判定实验室安全类别。同一间实验室涉及危险源种类较多的，可依据等级最高的危险源来判定其类别。根据高校教学与科研的特点，高校实验室可划分为化学类、生物类、辐射类、机电类、其他类等类别。类别划分可参考《高校实验室分类参照表》（附件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第十条 实验室分级分类结果和所涉及的主要危险源应在实验室门外的安全信息牌上标明，并及时更新。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第十一条 实验室的用途如研究内容、危险源类型与数量等因素发生变化时，实验室应立即重新进行危险源辨识和安全风险评价，重新判定实验室安全类别及级别，如需变更应立即报告所属二级单位。二级单位应及时修正本单位实验室安全分级分类管理台账，同时报学校备案。高校应及时更新本校实验室安全分级分类管理台账，并定期对实验室分级分类情况进行复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第十二条 新建、改扩建实验室时，危险源辨识和安全风险评价应与建设项目同步进行，实验室安全分级分类工作应与项目同步完成。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shd w:val="clear" w:fill="FFFFFF"/>
        </w:rPr>
        <w:t>第四章 实施与监督检查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第十三条 高校应根据实验室分级分类结果，针对不同等级实验室，制定并落实不同等级的管理要求，并按照“突出重点、全面覆盖”的原则加强实验室安全监管，及时保障实验室安全建设与投入。分级管理要求按《高校实验室分级管理要求参照表》（附件4）执行，高校可以在此基础上制定本校具体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第十四条 安全等级为Ⅰ级/红色级的实验室应报高校主管部门备案，高校主管部门对其加强监管。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第十五条 学校党政主要负责人、学校实验室安全主管职能部门、二级单位、实验室等各级责任机构应根据学校、二级单位和本实验室实际情况，分级开展相应的安全检查工作。在重大隐患未完成整改前，不得在实验室中进行实验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第十六条 实验室负责人、实验室安全管理员和实验人员等应根据所在实验室类别和安全等级，接受相应等级的安全培训并开展相应的应急演练。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第十七条 在实验室开展的科研项目、学生课题，或其他实验活动应进行相应等级的安全风险评估。涉及重要危险源的实验活动，二级单位应进行审查、备案，学校应不定期抽查。Ⅰ级/红色级、Ⅱ级/橙色级实验室应针对重要危险源制定相应的管理办法和应急管控措施，责任到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第十八条 实验室应配备适用于其安全风险级别的安全设施设备和安全管理人员。高风险点位应安装监控和必要的监测报警装置。实验室应配备必要的个体防护设备设施。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4B4B4B"/>
          <w:spacing w:val="0"/>
          <w:sz w:val="24"/>
          <w:szCs w:val="24"/>
        </w:rPr>
      </w:pPr>
      <w:r>
        <w:rPr>
          <w:rStyle w:val="7"/>
          <w:rFonts w:hint="eastAsia" w:ascii="微软雅黑" w:hAnsi="微软雅黑" w:eastAsia="微软雅黑" w:cs="微软雅黑"/>
          <w:i w:val="0"/>
          <w:iCs w:val="0"/>
          <w:caps w:val="0"/>
          <w:color w:val="4B4B4B"/>
          <w:spacing w:val="0"/>
          <w:sz w:val="24"/>
          <w:szCs w:val="24"/>
          <w:shd w:val="clear" w:fill="FFFFFF"/>
        </w:rPr>
        <w:t>第五章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第十九条 有关高校未按照本办法规定实际有效地开展实验室安全分级分类管理工作，造成实验室安全事故事件的，依法依规予以追责。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第二十条 本办法自印发之日起施行。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附件：1.</w:t>
      </w:r>
      <w:r>
        <w:rPr>
          <w:rFonts w:hint="eastAsia" w:ascii="微软雅黑" w:hAnsi="微软雅黑" w:eastAsia="微软雅黑" w:cs="微软雅黑"/>
          <w:i w:val="0"/>
          <w:iCs w:val="0"/>
          <w:caps w:val="0"/>
          <w:color w:val="0000FF"/>
          <w:spacing w:val="0"/>
          <w:sz w:val="24"/>
          <w:szCs w:val="24"/>
          <w:u w:val="none"/>
          <w:shd w:val="clear" w:fill="FFFFFF"/>
        </w:rPr>
        <w:fldChar w:fldCharType="begin"/>
      </w:r>
      <w:r>
        <w:rPr>
          <w:rFonts w:hint="eastAsia" w:ascii="微软雅黑" w:hAnsi="微软雅黑" w:eastAsia="微软雅黑" w:cs="微软雅黑"/>
          <w:i w:val="0"/>
          <w:iCs w:val="0"/>
          <w:caps w:val="0"/>
          <w:color w:val="0000FF"/>
          <w:spacing w:val="0"/>
          <w:sz w:val="24"/>
          <w:szCs w:val="24"/>
          <w:u w:val="none"/>
          <w:shd w:val="clear" w:fill="FFFFFF"/>
        </w:rPr>
        <w:instrText xml:space="preserve"> HYPERLINK "http://www.moe.gov.cn/srcsite/A16/s7062/202404/W020240419515673388283.docx" \t "http://www.moe.gov.cn/srcsite/A16/s7062/202404/_blank" </w:instrText>
      </w:r>
      <w:r>
        <w:rPr>
          <w:rFonts w:hint="eastAsia" w:ascii="微软雅黑" w:hAnsi="微软雅黑" w:eastAsia="微软雅黑" w:cs="微软雅黑"/>
          <w:i w:val="0"/>
          <w:iCs w:val="0"/>
          <w:caps w:val="0"/>
          <w:color w:val="0000FF"/>
          <w:spacing w:val="0"/>
          <w:sz w:val="24"/>
          <w:szCs w:val="24"/>
          <w:u w:val="none"/>
          <w:shd w:val="clear" w:fill="FFFFFF"/>
        </w:rPr>
        <w:fldChar w:fldCharType="separate"/>
      </w:r>
      <w:r>
        <w:rPr>
          <w:rStyle w:val="8"/>
          <w:rFonts w:hint="eastAsia" w:ascii="微软雅黑" w:hAnsi="微软雅黑" w:eastAsia="微软雅黑" w:cs="微软雅黑"/>
          <w:i w:val="0"/>
          <w:iCs w:val="0"/>
          <w:caps w:val="0"/>
          <w:color w:val="0000FF"/>
          <w:spacing w:val="0"/>
          <w:sz w:val="24"/>
          <w:szCs w:val="24"/>
          <w:u w:val="none"/>
          <w:shd w:val="clear" w:fill="FFFFFF"/>
        </w:rPr>
        <w:t>高校实验室安全分级表</w:t>
      </w:r>
      <w:r>
        <w:rPr>
          <w:rFonts w:hint="eastAsia" w:ascii="微软雅黑" w:hAnsi="微软雅黑" w:eastAsia="微软雅黑" w:cs="微软雅黑"/>
          <w:i w:val="0"/>
          <w:iCs w:val="0"/>
          <w:caps w:val="0"/>
          <w:color w:val="0000FF"/>
          <w:spacing w:val="0"/>
          <w:sz w:val="24"/>
          <w:szCs w:val="24"/>
          <w:u w:val="none"/>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2.</w:t>
      </w:r>
      <w:r>
        <w:rPr>
          <w:rFonts w:hint="eastAsia" w:ascii="微软雅黑" w:hAnsi="微软雅黑" w:eastAsia="微软雅黑" w:cs="微软雅黑"/>
          <w:i w:val="0"/>
          <w:iCs w:val="0"/>
          <w:caps w:val="0"/>
          <w:color w:val="0000FF"/>
          <w:spacing w:val="0"/>
          <w:sz w:val="24"/>
          <w:szCs w:val="24"/>
          <w:u w:val="none"/>
          <w:shd w:val="clear" w:fill="FFFFFF"/>
        </w:rPr>
        <w:fldChar w:fldCharType="begin"/>
      </w:r>
      <w:r>
        <w:rPr>
          <w:rFonts w:hint="eastAsia" w:ascii="微软雅黑" w:hAnsi="微软雅黑" w:eastAsia="微软雅黑" w:cs="微软雅黑"/>
          <w:i w:val="0"/>
          <w:iCs w:val="0"/>
          <w:caps w:val="0"/>
          <w:color w:val="0000FF"/>
          <w:spacing w:val="0"/>
          <w:sz w:val="24"/>
          <w:szCs w:val="24"/>
          <w:u w:val="none"/>
          <w:shd w:val="clear" w:fill="FFFFFF"/>
        </w:rPr>
        <w:instrText xml:space="preserve"> HYPERLINK "http://www.moe.gov.cn/srcsite/A16/s7062/202404/W020240419515673397425.docx" \t "http://www.moe.gov.cn/srcsite/A16/s7062/202404/_blank" </w:instrText>
      </w:r>
      <w:r>
        <w:rPr>
          <w:rFonts w:hint="eastAsia" w:ascii="微软雅黑" w:hAnsi="微软雅黑" w:eastAsia="微软雅黑" w:cs="微软雅黑"/>
          <w:i w:val="0"/>
          <w:iCs w:val="0"/>
          <w:caps w:val="0"/>
          <w:color w:val="0000FF"/>
          <w:spacing w:val="0"/>
          <w:sz w:val="24"/>
          <w:szCs w:val="24"/>
          <w:u w:val="none"/>
          <w:shd w:val="clear" w:fill="FFFFFF"/>
        </w:rPr>
        <w:fldChar w:fldCharType="separate"/>
      </w:r>
      <w:r>
        <w:rPr>
          <w:rStyle w:val="8"/>
          <w:rFonts w:hint="eastAsia" w:ascii="微软雅黑" w:hAnsi="微软雅黑" w:eastAsia="微软雅黑" w:cs="微软雅黑"/>
          <w:i w:val="0"/>
          <w:iCs w:val="0"/>
          <w:caps w:val="0"/>
          <w:color w:val="0000FF"/>
          <w:spacing w:val="0"/>
          <w:sz w:val="24"/>
          <w:szCs w:val="24"/>
          <w:u w:val="none"/>
          <w:shd w:val="clear" w:fill="FFFFFF"/>
        </w:rPr>
        <w:t>高校实验室安全风险评价表</w:t>
      </w:r>
      <w:r>
        <w:rPr>
          <w:rFonts w:hint="eastAsia" w:ascii="微软雅黑" w:hAnsi="微软雅黑" w:eastAsia="微软雅黑" w:cs="微软雅黑"/>
          <w:i w:val="0"/>
          <w:iCs w:val="0"/>
          <w:caps w:val="0"/>
          <w:color w:val="0000FF"/>
          <w:spacing w:val="0"/>
          <w:sz w:val="24"/>
          <w:szCs w:val="24"/>
          <w:u w:val="none"/>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3.</w:t>
      </w:r>
      <w:r>
        <w:rPr>
          <w:rFonts w:hint="eastAsia" w:ascii="微软雅黑" w:hAnsi="微软雅黑" w:eastAsia="微软雅黑" w:cs="微软雅黑"/>
          <w:i w:val="0"/>
          <w:iCs w:val="0"/>
          <w:caps w:val="0"/>
          <w:color w:val="0000FF"/>
          <w:spacing w:val="0"/>
          <w:sz w:val="24"/>
          <w:szCs w:val="24"/>
          <w:u w:val="none"/>
          <w:shd w:val="clear" w:fill="FFFFFF"/>
        </w:rPr>
        <w:fldChar w:fldCharType="begin"/>
      </w:r>
      <w:r>
        <w:rPr>
          <w:rFonts w:hint="eastAsia" w:ascii="微软雅黑" w:hAnsi="微软雅黑" w:eastAsia="微软雅黑" w:cs="微软雅黑"/>
          <w:i w:val="0"/>
          <w:iCs w:val="0"/>
          <w:caps w:val="0"/>
          <w:color w:val="0000FF"/>
          <w:spacing w:val="0"/>
          <w:sz w:val="24"/>
          <w:szCs w:val="24"/>
          <w:u w:val="none"/>
          <w:shd w:val="clear" w:fill="FFFFFF"/>
        </w:rPr>
        <w:instrText xml:space="preserve"> HYPERLINK "http://www.moe.gov.cn/srcsite/A16/s7062/202404/W020240419515673393312.docx" \t "http://www.moe.gov.cn/srcsite/A16/s7062/202404/_blank" </w:instrText>
      </w:r>
      <w:r>
        <w:rPr>
          <w:rFonts w:hint="eastAsia" w:ascii="微软雅黑" w:hAnsi="微软雅黑" w:eastAsia="微软雅黑" w:cs="微软雅黑"/>
          <w:i w:val="0"/>
          <w:iCs w:val="0"/>
          <w:caps w:val="0"/>
          <w:color w:val="0000FF"/>
          <w:spacing w:val="0"/>
          <w:sz w:val="24"/>
          <w:szCs w:val="24"/>
          <w:u w:val="none"/>
          <w:shd w:val="clear" w:fill="FFFFFF"/>
        </w:rPr>
        <w:fldChar w:fldCharType="separate"/>
      </w:r>
      <w:r>
        <w:rPr>
          <w:rStyle w:val="8"/>
          <w:rFonts w:hint="eastAsia" w:ascii="微软雅黑" w:hAnsi="微软雅黑" w:eastAsia="微软雅黑" w:cs="微软雅黑"/>
          <w:i w:val="0"/>
          <w:iCs w:val="0"/>
          <w:caps w:val="0"/>
          <w:color w:val="0000FF"/>
          <w:spacing w:val="0"/>
          <w:sz w:val="24"/>
          <w:szCs w:val="24"/>
          <w:u w:val="none"/>
          <w:shd w:val="clear" w:fill="FFFFFF"/>
        </w:rPr>
        <w:t>高校实验室分类参照表</w:t>
      </w:r>
      <w:r>
        <w:rPr>
          <w:rFonts w:hint="eastAsia" w:ascii="微软雅黑" w:hAnsi="微软雅黑" w:eastAsia="微软雅黑" w:cs="微软雅黑"/>
          <w:i w:val="0"/>
          <w:iCs w:val="0"/>
          <w:caps w:val="0"/>
          <w:color w:val="0000FF"/>
          <w:spacing w:val="0"/>
          <w:sz w:val="24"/>
          <w:szCs w:val="24"/>
          <w:u w:val="none"/>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微软雅黑" w:hAnsi="微软雅黑" w:eastAsia="微软雅黑" w:cs="微软雅黑"/>
          <w:i w:val="0"/>
          <w:iCs w:val="0"/>
          <w:caps w:val="0"/>
          <w:color w:val="4B4B4B"/>
          <w:spacing w:val="0"/>
          <w:sz w:val="24"/>
          <w:szCs w:val="24"/>
        </w:rPr>
      </w:pPr>
      <w:r>
        <w:rPr>
          <w:rFonts w:hint="eastAsia" w:ascii="微软雅黑" w:hAnsi="微软雅黑" w:eastAsia="微软雅黑" w:cs="微软雅黑"/>
          <w:i w:val="0"/>
          <w:iCs w:val="0"/>
          <w:caps w:val="0"/>
          <w:color w:val="4B4B4B"/>
          <w:spacing w:val="0"/>
          <w:sz w:val="24"/>
          <w:szCs w:val="24"/>
          <w:shd w:val="clear" w:fill="FFFFFF"/>
        </w:rPr>
        <w:t>　　　　　4.</w:t>
      </w:r>
      <w:r>
        <w:rPr>
          <w:rFonts w:hint="eastAsia" w:ascii="微软雅黑" w:hAnsi="微软雅黑" w:eastAsia="微软雅黑" w:cs="微软雅黑"/>
          <w:i w:val="0"/>
          <w:iCs w:val="0"/>
          <w:caps w:val="0"/>
          <w:color w:val="0000FF"/>
          <w:spacing w:val="0"/>
          <w:sz w:val="24"/>
          <w:szCs w:val="24"/>
          <w:u w:val="none"/>
          <w:shd w:val="clear" w:fill="FFFFFF"/>
        </w:rPr>
        <w:fldChar w:fldCharType="begin"/>
      </w:r>
      <w:r>
        <w:rPr>
          <w:rFonts w:hint="eastAsia" w:ascii="微软雅黑" w:hAnsi="微软雅黑" w:eastAsia="微软雅黑" w:cs="微软雅黑"/>
          <w:i w:val="0"/>
          <w:iCs w:val="0"/>
          <w:caps w:val="0"/>
          <w:color w:val="0000FF"/>
          <w:spacing w:val="0"/>
          <w:sz w:val="24"/>
          <w:szCs w:val="24"/>
          <w:u w:val="none"/>
          <w:shd w:val="clear" w:fill="FFFFFF"/>
        </w:rPr>
        <w:instrText xml:space="preserve"> HYPERLINK "http://www.moe.gov.cn/srcsite/A16/s7062/202404/W020240419515673392498.docx" \t "http://www.moe.gov.cn/srcsite/A16/s7062/202404/_blank" </w:instrText>
      </w:r>
      <w:r>
        <w:rPr>
          <w:rFonts w:hint="eastAsia" w:ascii="微软雅黑" w:hAnsi="微软雅黑" w:eastAsia="微软雅黑" w:cs="微软雅黑"/>
          <w:i w:val="0"/>
          <w:iCs w:val="0"/>
          <w:caps w:val="0"/>
          <w:color w:val="0000FF"/>
          <w:spacing w:val="0"/>
          <w:sz w:val="24"/>
          <w:szCs w:val="24"/>
          <w:u w:val="none"/>
          <w:shd w:val="clear" w:fill="FFFFFF"/>
        </w:rPr>
        <w:fldChar w:fldCharType="separate"/>
      </w:r>
      <w:r>
        <w:rPr>
          <w:rStyle w:val="8"/>
          <w:rFonts w:hint="eastAsia" w:ascii="微软雅黑" w:hAnsi="微软雅黑" w:eastAsia="微软雅黑" w:cs="微软雅黑"/>
          <w:i w:val="0"/>
          <w:iCs w:val="0"/>
          <w:caps w:val="0"/>
          <w:color w:val="0000FF"/>
          <w:spacing w:val="0"/>
          <w:sz w:val="24"/>
          <w:szCs w:val="24"/>
          <w:u w:val="none"/>
          <w:shd w:val="clear" w:fill="FFFFFF"/>
        </w:rPr>
        <w:t>高校实验室分级管理要求参照表</w:t>
      </w:r>
      <w:r>
        <w:rPr>
          <w:rFonts w:hint="eastAsia" w:ascii="微软雅黑" w:hAnsi="微软雅黑" w:eastAsia="微软雅黑" w:cs="微软雅黑"/>
          <w:i w:val="0"/>
          <w:iCs w:val="0"/>
          <w:caps w:val="0"/>
          <w:color w:val="0000FF"/>
          <w:spacing w:val="0"/>
          <w:sz w:val="24"/>
          <w:szCs w:val="24"/>
          <w:u w:val="none"/>
          <w:shd w:val="clear" w:fill="FFFFFF"/>
        </w:rPr>
        <w:fldChar w:fldCharType="end"/>
      </w:r>
    </w:p>
    <w:p>
      <w:pPr>
        <w:adjustRightInd w:val="0"/>
        <w:snapToGrid w:val="0"/>
        <w:spacing w:after="312" w:afterLines="100" w:line="560" w:lineRule="exact"/>
        <w:ind w:firstLine="0" w:firstLineChars="0"/>
        <w:rPr>
          <w:rFonts w:eastAsia="黑体" w:cs="Times New Roman"/>
          <w:sz w:val="32"/>
          <w:szCs w:val="32"/>
        </w:rPr>
      </w:pPr>
      <w:r>
        <w:rPr>
          <w:rFonts w:hint="eastAsia" w:ascii="黑体" w:hAnsi="黑体" w:eastAsia="黑体" w:cs="黑体"/>
          <w:sz w:val="32"/>
          <w:szCs w:val="32"/>
        </w:rPr>
        <w:t>附件</w:t>
      </w:r>
      <w:r>
        <w:rPr>
          <w:rFonts w:eastAsia="黑体" w:cs="Times New Roman"/>
          <w:sz w:val="32"/>
          <w:szCs w:val="32"/>
        </w:rPr>
        <w:t>1</w:t>
      </w:r>
    </w:p>
    <w:p>
      <w:pPr>
        <w:spacing w:after="312" w:afterLines="100" w:line="560" w:lineRule="exact"/>
        <w:ind w:firstLine="365" w:firstLineChars="83"/>
        <w:jc w:val="center"/>
        <w:rPr>
          <w:rFonts w:ascii="方正小标宋简体" w:hAnsi="方正小标宋简体" w:eastAsia="方正小标宋简体" w:cs="方正小标宋简体"/>
          <w:sz w:val="44"/>
          <w:szCs w:val="40"/>
        </w:rPr>
      </w:pPr>
      <w:r>
        <w:rPr>
          <w:rFonts w:hint="eastAsia" w:ascii="方正小标宋简体" w:hAnsi="方正小标宋简体" w:eastAsia="方正小标宋简体" w:cs="方正小标宋简体"/>
          <w:sz w:val="44"/>
          <w:szCs w:val="40"/>
        </w:rPr>
        <w:t>高校实验室安全分级表</w:t>
      </w:r>
    </w:p>
    <w:tbl>
      <w:tblPr>
        <w:tblStyle w:val="5"/>
        <w:tblW w:w="8809"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6"/>
        <w:gridCol w:w="7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 w:hRule="atLeast"/>
          <w:tblHeader/>
        </w:trPr>
        <w:tc>
          <w:tcPr>
            <w:tcW w:w="1556" w:type="dxa"/>
          </w:tcPr>
          <w:p>
            <w:pPr>
              <w:spacing w:line="240" w:lineRule="auto"/>
              <w:ind w:firstLine="0" w:firstLineChars="0"/>
              <w:jc w:val="center"/>
              <w:rPr>
                <w:rFonts w:ascii="黑体" w:hAnsi="黑体" w:eastAsia="黑体" w:cs="黑体"/>
                <w:bCs/>
                <w:kern w:val="0"/>
                <w:szCs w:val="24"/>
              </w:rPr>
            </w:pPr>
            <w:r>
              <w:rPr>
                <w:rFonts w:hint="eastAsia" w:ascii="黑体" w:hAnsi="黑体" w:eastAsia="黑体" w:cs="黑体"/>
                <w:bCs/>
                <w:kern w:val="0"/>
                <w:szCs w:val="24"/>
              </w:rPr>
              <w:t>安全级别</w:t>
            </w:r>
          </w:p>
        </w:tc>
        <w:tc>
          <w:tcPr>
            <w:tcW w:w="7253" w:type="dxa"/>
          </w:tcPr>
          <w:p>
            <w:pPr>
              <w:spacing w:line="240" w:lineRule="auto"/>
              <w:ind w:firstLine="0" w:firstLineChars="0"/>
              <w:jc w:val="center"/>
              <w:rPr>
                <w:rFonts w:ascii="黑体" w:hAnsi="黑体" w:eastAsia="黑体" w:cs="黑体"/>
                <w:bCs/>
                <w:kern w:val="0"/>
                <w:szCs w:val="24"/>
              </w:rPr>
            </w:pPr>
            <w:r>
              <w:rPr>
                <w:rFonts w:hint="eastAsia" w:ascii="黑体" w:hAnsi="黑体" w:eastAsia="黑体" w:cs="黑体"/>
                <w:bCs/>
                <w:kern w:val="0"/>
                <w:szCs w:val="24"/>
              </w:rPr>
              <w:t>参考分级依据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8" w:hRule="atLeast"/>
        </w:trPr>
        <w:tc>
          <w:tcPr>
            <w:tcW w:w="1556" w:type="dxa"/>
            <w:vMerge w:val="restart"/>
          </w:tcPr>
          <w:p>
            <w:pPr>
              <w:spacing w:line="240" w:lineRule="auto"/>
              <w:ind w:firstLine="0" w:firstLineChars="0"/>
              <w:rPr>
                <w:rFonts w:eastAsia="仿宋_GB2312" w:cs="Times New Roman"/>
                <w:kern w:val="0"/>
                <w:szCs w:val="24"/>
              </w:rPr>
            </w:pPr>
            <w:r>
              <w:rPr>
                <w:rFonts w:eastAsia="仿宋_GB2312" w:cs="Times New Roman"/>
                <w:kern w:val="0"/>
                <w:szCs w:val="24"/>
              </w:rPr>
              <w:t>Ⅰ级</w:t>
            </w:r>
            <w:r>
              <w:rPr>
                <w:rFonts w:hint="eastAsia" w:eastAsia="仿宋_GB2312" w:cs="Times New Roman"/>
                <w:kern w:val="0"/>
                <w:szCs w:val="24"/>
              </w:rPr>
              <w:t>/红色级</w:t>
            </w:r>
            <w:r>
              <w:rPr>
                <w:rFonts w:eastAsia="仿宋_GB2312" w:cs="Times New Roman"/>
                <w:kern w:val="0"/>
                <w:szCs w:val="24"/>
              </w:rPr>
              <w:t>实验室</w:t>
            </w:r>
            <w:r>
              <w:rPr>
                <w:rFonts w:hint="eastAsia" w:eastAsia="仿宋_GB2312" w:cs="Times New Roman"/>
                <w:kern w:val="0"/>
                <w:szCs w:val="24"/>
              </w:rPr>
              <w:t>（重大风险实验室）</w:t>
            </w:r>
          </w:p>
        </w:tc>
        <w:tc>
          <w:tcPr>
            <w:tcW w:w="7253" w:type="dxa"/>
          </w:tcPr>
          <w:p>
            <w:pPr>
              <w:spacing w:line="240" w:lineRule="auto"/>
              <w:ind w:firstLine="0" w:firstLineChars="0"/>
              <w:rPr>
                <w:rFonts w:eastAsia="仿宋_GB2312" w:cs="Times New Roman"/>
                <w:kern w:val="0"/>
                <w:szCs w:val="24"/>
              </w:rPr>
            </w:pPr>
            <w:r>
              <w:rPr>
                <w:rFonts w:eastAsia="仿宋_GB2312" w:cs="Times New Roman"/>
                <w:kern w:val="0"/>
                <w:szCs w:val="24"/>
              </w:rPr>
              <w:t>实验室有以下情况之一的：</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实验</w:t>
            </w:r>
            <w:r>
              <w:rPr>
                <w:rFonts w:hint="eastAsia" w:eastAsia="仿宋_GB2312" w:cs="Times New Roman"/>
                <w:kern w:val="0"/>
                <w:szCs w:val="24"/>
              </w:rPr>
              <w:t>原料或</w:t>
            </w:r>
            <w:r>
              <w:rPr>
                <w:rFonts w:eastAsia="仿宋_GB2312" w:cs="Times New Roman"/>
                <w:kern w:val="0"/>
                <w:szCs w:val="24"/>
              </w:rPr>
              <w:t>产物含剧毒化学成分；</w:t>
            </w:r>
          </w:p>
          <w:p>
            <w:pPr>
              <w:pStyle w:val="9"/>
              <w:numPr>
                <w:ilvl w:val="0"/>
                <w:numId w:val="1"/>
              </w:numPr>
              <w:spacing w:line="240" w:lineRule="auto"/>
              <w:ind w:firstLineChars="0"/>
              <w:rPr>
                <w:rFonts w:eastAsia="仿宋_GB2312" w:cs="Times New Roman"/>
                <w:kern w:val="0"/>
                <w:szCs w:val="24"/>
              </w:rPr>
            </w:pPr>
            <w:r>
              <w:rPr>
                <w:rFonts w:hint="eastAsia" w:eastAsia="仿宋_GB2312" w:cs="Times New Roman"/>
                <w:kern w:val="0"/>
                <w:szCs w:val="24"/>
              </w:rPr>
              <w:t>使用</w:t>
            </w:r>
            <w:r>
              <w:rPr>
                <w:rFonts w:eastAsia="仿宋_GB2312" w:cs="Times New Roman"/>
                <w:kern w:val="0"/>
                <w:szCs w:val="24"/>
              </w:rPr>
              <w:t>剧毒化学品</w:t>
            </w:r>
            <w:r>
              <w:rPr>
                <w:rFonts w:hint="eastAsia" w:eastAsia="仿宋_GB2312" w:cs="Times New Roman"/>
                <w:kern w:val="0"/>
                <w:szCs w:val="24"/>
              </w:rPr>
              <w:t>；</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存储第一类易制毒品、第一类精神药品；</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存储易燃易爆化学品总量大于50kg或50L；</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存储有毒、易燃气体总量≥6瓶；</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生物安全</w:t>
            </w:r>
            <w:r>
              <w:rPr>
                <w:rFonts w:hint="eastAsia" w:eastAsia="仿宋_GB2312" w:cs="Times New Roman"/>
                <w:kern w:val="0"/>
                <w:szCs w:val="24"/>
              </w:rPr>
              <w:t>BSL-</w:t>
            </w:r>
            <w:r>
              <w:rPr>
                <w:rFonts w:eastAsia="仿宋_GB2312" w:cs="Times New Roman"/>
                <w:kern w:val="0"/>
                <w:szCs w:val="24"/>
              </w:rPr>
              <w:t>3</w:t>
            </w:r>
            <w:r>
              <w:rPr>
                <w:rFonts w:hint="eastAsia" w:eastAsia="仿宋_GB2312" w:cs="Times New Roman"/>
                <w:kern w:val="0"/>
                <w:szCs w:val="24"/>
              </w:rPr>
              <w:t>、ABSL-3</w:t>
            </w:r>
            <w:r>
              <w:rPr>
                <w:rFonts w:eastAsia="仿宋_GB2312" w:cs="Times New Roman"/>
                <w:kern w:val="0"/>
                <w:szCs w:val="24"/>
              </w:rPr>
              <w:t>、</w:t>
            </w:r>
            <w:r>
              <w:rPr>
                <w:rFonts w:hint="eastAsia" w:eastAsia="仿宋_GB2312" w:cs="Times New Roman"/>
                <w:kern w:val="0"/>
                <w:szCs w:val="24"/>
              </w:rPr>
              <w:t>BSL-4、ABSL-</w:t>
            </w:r>
            <w:r>
              <w:rPr>
                <w:rFonts w:eastAsia="仿宋_GB2312" w:cs="Times New Roman"/>
                <w:kern w:val="0"/>
                <w:szCs w:val="24"/>
              </w:rPr>
              <w:t>4实验室；</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使用I、II类射线设备；</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使用放射性同位素、放射源、核材料；</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使用机电类特种设备；</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使用超高压</w:t>
            </w:r>
            <w:r>
              <w:rPr>
                <w:rFonts w:hint="eastAsia" w:eastAsia="仿宋_GB2312" w:cs="Times New Roman"/>
                <w:kern w:val="0"/>
                <w:szCs w:val="24"/>
              </w:rPr>
              <w:t>等</w:t>
            </w:r>
            <w:r>
              <w:rPr>
                <w:rFonts w:eastAsia="仿宋_GB2312" w:cs="Times New Roman"/>
                <w:kern w:val="0"/>
                <w:szCs w:val="24"/>
              </w:rPr>
              <w:t>第三类压力容器；</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使用强磁、强电设备；</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使用4、3R、3B类激光设备；</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使用富氧涉爆</w:t>
            </w:r>
            <w:r>
              <w:rPr>
                <w:rFonts w:hint="eastAsia" w:eastAsia="仿宋_GB2312" w:cs="Times New Roman"/>
                <w:kern w:val="0"/>
                <w:szCs w:val="24"/>
              </w:rPr>
              <w:t>实验室自制设备</w:t>
            </w:r>
            <w:r>
              <w:rPr>
                <w:rFonts w:eastAsia="仿宋_GB2312" w:cs="Times New Roman"/>
                <w:kern w:val="0"/>
                <w:szCs w:val="24"/>
              </w:rPr>
              <w:t>；</w:t>
            </w:r>
          </w:p>
          <w:p>
            <w:pPr>
              <w:pStyle w:val="9"/>
              <w:numPr>
                <w:ilvl w:val="0"/>
                <w:numId w:val="1"/>
              </w:numPr>
              <w:spacing w:line="240" w:lineRule="auto"/>
              <w:ind w:firstLineChars="0"/>
              <w:rPr>
                <w:rFonts w:eastAsia="仿宋_GB2312" w:cs="Times New Roman"/>
                <w:kern w:val="0"/>
                <w:szCs w:val="24"/>
              </w:rPr>
            </w:pPr>
            <w:r>
              <w:rPr>
                <w:rFonts w:eastAsia="仿宋_GB2312" w:cs="Times New Roman"/>
                <w:kern w:val="0"/>
                <w:szCs w:val="24"/>
              </w:rPr>
              <w:t>高校自行</w:t>
            </w:r>
            <w:r>
              <w:rPr>
                <w:rFonts w:hint="eastAsia" w:eastAsia="仿宋_GB2312" w:cs="Times New Roman"/>
                <w:kern w:val="0"/>
                <w:szCs w:val="24"/>
              </w:rPr>
              <w:t>规定</w:t>
            </w:r>
            <w:r>
              <w:rPr>
                <w:rFonts w:eastAsia="仿宋_GB2312" w:cs="Times New Roman"/>
                <w:kern w:val="0"/>
                <w:szCs w:val="24"/>
              </w:rPr>
              <w:t>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6" w:hRule="atLeast"/>
        </w:trPr>
        <w:tc>
          <w:tcPr>
            <w:tcW w:w="1556" w:type="dxa"/>
            <w:vMerge w:val="continue"/>
          </w:tcPr>
          <w:p>
            <w:pPr>
              <w:spacing w:line="240" w:lineRule="auto"/>
              <w:ind w:firstLine="0" w:firstLineChars="0"/>
              <w:rPr>
                <w:rFonts w:eastAsia="仿宋_GB2312" w:cs="Times New Roman"/>
                <w:kern w:val="0"/>
                <w:szCs w:val="24"/>
              </w:rPr>
            </w:pPr>
          </w:p>
        </w:tc>
        <w:tc>
          <w:tcPr>
            <w:tcW w:w="7253" w:type="dxa"/>
          </w:tcPr>
          <w:p>
            <w:pPr>
              <w:spacing w:line="240" w:lineRule="auto"/>
              <w:ind w:firstLine="0" w:firstLineChars="0"/>
              <w:rPr>
                <w:rFonts w:eastAsia="仿宋_GB2312" w:cs="Times New Roman"/>
                <w:kern w:val="0"/>
                <w:szCs w:val="24"/>
              </w:rPr>
            </w:pPr>
            <w:r>
              <w:rPr>
                <w:rFonts w:eastAsia="仿宋_GB2312" w:cs="Times New Roman"/>
                <w:kern w:val="0"/>
                <w:szCs w:val="24"/>
              </w:rPr>
              <w:t>按照《高校实验室安全风险评价表》评分达到100分的实验室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556" w:type="dxa"/>
            <w:vMerge w:val="restart"/>
          </w:tcPr>
          <w:p>
            <w:pPr>
              <w:spacing w:line="240" w:lineRule="auto"/>
              <w:ind w:firstLine="0" w:firstLineChars="0"/>
              <w:rPr>
                <w:rFonts w:eastAsia="仿宋_GB2312" w:cs="Times New Roman"/>
                <w:kern w:val="0"/>
                <w:szCs w:val="24"/>
              </w:rPr>
            </w:pPr>
            <w:r>
              <w:rPr>
                <w:rFonts w:eastAsia="仿宋_GB2312" w:cs="Times New Roman"/>
                <w:kern w:val="0"/>
                <w:szCs w:val="24"/>
              </w:rPr>
              <w:t>Ⅱ级</w:t>
            </w:r>
            <w:r>
              <w:rPr>
                <w:rFonts w:hint="eastAsia" w:eastAsia="仿宋_GB2312" w:cs="Times New Roman"/>
                <w:kern w:val="0"/>
                <w:szCs w:val="24"/>
              </w:rPr>
              <w:t>/橙色级</w:t>
            </w:r>
            <w:r>
              <w:rPr>
                <w:rFonts w:eastAsia="仿宋_GB2312" w:cs="Times New Roman"/>
                <w:kern w:val="0"/>
                <w:szCs w:val="24"/>
              </w:rPr>
              <w:t>实验室</w:t>
            </w:r>
            <w:r>
              <w:rPr>
                <w:rFonts w:hint="eastAsia" w:eastAsia="仿宋_GB2312" w:cs="Times New Roman"/>
                <w:kern w:val="0"/>
                <w:szCs w:val="24"/>
              </w:rPr>
              <w:t>（高风险实验室）</w:t>
            </w:r>
          </w:p>
        </w:tc>
        <w:tc>
          <w:tcPr>
            <w:tcW w:w="7253" w:type="dxa"/>
          </w:tcPr>
          <w:p>
            <w:pPr>
              <w:spacing w:line="240" w:lineRule="auto"/>
              <w:ind w:firstLine="0" w:firstLineChars="0"/>
              <w:rPr>
                <w:rFonts w:eastAsia="仿宋_GB2312" w:cs="Times New Roman"/>
                <w:kern w:val="0"/>
                <w:szCs w:val="24"/>
              </w:rPr>
            </w:pPr>
            <w:r>
              <w:rPr>
                <w:rFonts w:eastAsia="仿宋_GB2312" w:cs="Times New Roman"/>
                <w:kern w:val="0"/>
                <w:szCs w:val="24"/>
              </w:rPr>
              <w:t>实验室有以下情况之一的：</w:t>
            </w:r>
          </w:p>
          <w:p>
            <w:pPr>
              <w:pStyle w:val="9"/>
              <w:numPr>
                <w:ilvl w:val="0"/>
                <w:numId w:val="2"/>
              </w:numPr>
              <w:spacing w:line="240" w:lineRule="auto"/>
              <w:ind w:firstLineChars="0"/>
              <w:rPr>
                <w:rFonts w:eastAsia="仿宋_GB2312" w:cs="Times New Roman"/>
                <w:kern w:val="0"/>
                <w:szCs w:val="24"/>
              </w:rPr>
            </w:pPr>
            <w:r>
              <w:rPr>
                <w:rFonts w:eastAsia="仿宋_GB2312" w:cs="Times New Roman"/>
                <w:kern w:val="0"/>
                <w:szCs w:val="24"/>
              </w:rPr>
              <w:t>存储第二类精神药品；</w:t>
            </w:r>
          </w:p>
          <w:p>
            <w:pPr>
              <w:pStyle w:val="9"/>
              <w:numPr>
                <w:ilvl w:val="0"/>
                <w:numId w:val="2"/>
              </w:numPr>
              <w:spacing w:line="240" w:lineRule="auto"/>
              <w:ind w:firstLineChars="0"/>
              <w:rPr>
                <w:rFonts w:eastAsia="仿宋_GB2312" w:cs="Times New Roman"/>
                <w:kern w:val="0"/>
                <w:szCs w:val="24"/>
              </w:rPr>
            </w:pPr>
            <w:r>
              <w:rPr>
                <w:rFonts w:eastAsia="仿宋_GB2312" w:cs="Times New Roman"/>
                <w:kern w:val="0"/>
                <w:szCs w:val="24"/>
              </w:rPr>
              <w:t>存储易燃易爆化学品总量为20~50kg或20~50L；</w:t>
            </w:r>
          </w:p>
          <w:p>
            <w:pPr>
              <w:pStyle w:val="9"/>
              <w:numPr>
                <w:ilvl w:val="0"/>
                <w:numId w:val="2"/>
              </w:numPr>
              <w:spacing w:line="240" w:lineRule="auto"/>
              <w:ind w:firstLineChars="0"/>
              <w:rPr>
                <w:rFonts w:eastAsia="仿宋_GB2312" w:cs="Times New Roman"/>
                <w:kern w:val="0"/>
                <w:szCs w:val="24"/>
              </w:rPr>
            </w:pPr>
            <w:r>
              <w:rPr>
                <w:rFonts w:eastAsia="仿宋_GB2312" w:cs="Times New Roman"/>
                <w:kern w:val="0"/>
                <w:szCs w:val="24"/>
              </w:rPr>
              <w:t>存储有毒、易燃气体总量为3~6（不含）瓶；</w:t>
            </w:r>
          </w:p>
          <w:p>
            <w:pPr>
              <w:pStyle w:val="9"/>
              <w:numPr>
                <w:ilvl w:val="0"/>
                <w:numId w:val="2"/>
              </w:numPr>
              <w:spacing w:line="240" w:lineRule="auto"/>
              <w:ind w:firstLineChars="0"/>
              <w:rPr>
                <w:rFonts w:eastAsia="仿宋_GB2312" w:cs="Times New Roman"/>
                <w:kern w:val="0"/>
                <w:szCs w:val="24"/>
              </w:rPr>
            </w:pPr>
            <w:r>
              <w:rPr>
                <w:rFonts w:eastAsia="仿宋_GB2312" w:cs="Times New Roman"/>
                <w:kern w:val="0"/>
                <w:szCs w:val="24"/>
              </w:rPr>
              <w:t>生物安全</w:t>
            </w:r>
            <w:r>
              <w:rPr>
                <w:rFonts w:hint="eastAsia" w:eastAsia="仿宋_GB2312" w:cs="Times New Roman"/>
                <w:kern w:val="0"/>
                <w:szCs w:val="24"/>
              </w:rPr>
              <w:t>BSL-</w:t>
            </w:r>
            <w:r>
              <w:rPr>
                <w:rFonts w:eastAsia="仿宋_GB2312" w:cs="Times New Roman"/>
                <w:kern w:val="0"/>
                <w:szCs w:val="24"/>
              </w:rPr>
              <w:t>2</w:t>
            </w:r>
            <w:r>
              <w:rPr>
                <w:rFonts w:hint="eastAsia" w:eastAsia="仿宋_GB2312" w:cs="Times New Roman"/>
                <w:kern w:val="0"/>
                <w:szCs w:val="24"/>
              </w:rPr>
              <w:t>、ABSL-2</w:t>
            </w:r>
            <w:r>
              <w:rPr>
                <w:rFonts w:eastAsia="仿宋_GB2312" w:cs="Times New Roman"/>
                <w:kern w:val="0"/>
                <w:szCs w:val="24"/>
              </w:rPr>
              <w:t>实验室；</w:t>
            </w:r>
          </w:p>
          <w:p>
            <w:pPr>
              <w:pStyle w:val="9"/>
              <w:numPr>
                <w:ilvl w:val="0"/>
                <w:numId w:val="2"/>
              </w:numPr>
              <w:spacing w:line="240" w:lineRule="auto"/>
              <w:ind w:firstLineChars="0"/>
              <w:rPr>
                <w:rFonts w:eastAsia="仿宋_GB2312" w:cs="Times New Roman"/>
                <w:kern w:val="0"/>
                <w:szCs w:val="24"/>
              </w:rPr>
            </w:pPr>
            <w:r>
              <w:rPr>
                <w:rFonts w:eastAsia="仿宋_GB2312" w:cs="Times New Roman"/>
                <w:kern w:val="0"/>
                <w:szCs w:val="24"/>
              </w:rPr>
              <w:t>使用第一类、第二类压力容器；</w:t>
            </w:r>
          </w:p>
          <w:p>
            <w:pPr>
              <w:pStyle w:val="9"/>
              <w:numPr>
                <w:ilvl w:val="0"/>
                <w:numId w:val="2"/>
              </w:numPr>
              <w:spacing w:line="240" w:lineRule="auto"/>
              <w:ind w:firstLineChars="0"/>
              <w:rPr>
                <w:rFonts w:eastAsia="仿宋_GB2312" w:cs="Times New Roman"/>
                <w:kern w:val="0"/>
                <w:szCs w:val="24"/>
              </w:rPr>
            </w:pPr>
            <w:r>
              <w:rPr>
                <w:rFonts w:eastAsia="仿宋_GB2312" w:cs="Times New Roman"/>
                <w:kern w:val="0"/>
                <w:szCs w:val="24"/>
              </w:rPr>
              <w:t>高校自行</w:t>
            </w:r>
            <w:r>
              <w:rPr>
                <w:rFonts w:hint="eastAsia" w:eastAsia="仿宋_GB2312" w:cs="Times New Roman"/>
                <w:kern w:val="0"/>
                <w:szCs w:val="24"/>
              </w:rPr>
              <w:t>规定</w:t>
            </w:r>
            <w:r>
              <w:rPr>
                <w:rFonts w:eastAsia="仿宋_GB2312" w:cs="Times New Roman"/>
                <w:kern w:val="0"/>
                <w:szCs w:val="24"/>
              </w:rPr>
              <w:t>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 w:hRule="atLeast"/>
        </w:trPr>
        <w:tc>
          <w:tcPr>
            <w:tcW w:w="1556" w:type="dxa"/>
            <w:vMerge w:val="continue"/>
          </w:tcPr>
          <w:p>
            <w:pPr>
              <w:spacing w:line="240" w:lineRule="auto"/>
              <w:ind w:firstLine="0" w:firstLineChars="0"/>
              <w:rPr>
                <w:rFonts w:eastAsia="仿宋_GB2312" w:cs="Times New Roman"/>
                <w:kern w:val="0"/>
                <w:szCs w:val="24"/>
              </w:rPr>
            </w:pPr>
          </w:p>
        </w:tc>
        <w:tc>
          <w:tcPr>
            <w:tcW w:w="7253" w:type="dxa"/>
          </w:tcPr>
          <w:p>
            <w:pPr>
              <w:spacing w:line="240" w:lineRule="auto"/>
              <w:ind w:firstLine="0" w:firstLineChars="0"/>
              <w:rPr>
                <w:rFonts w:eastAsia="仿宋_GB2312" w:cs="Times New Roman"/>
                <w:kern w:val="0"/>
                <w:szCs w:val="24"/>
              </w:rPr>
            </w:pPr>
            <w:r>
              <w:rPr>
                <w:rFonts w:eastAsia="仿宋_GB2312" w:cs="Times New Roman"/>
                <w:kern w:val="0"/>
                <w:szCs w:val="24"/>
              </w:rPr>
              <w:t>按照《高校实验室安全风险评价表》评分在[75, 100)范围的实验室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556" w:type="dxa"/>
            <w:vMerge w:val="restart"/>
          </w:tcPr>
          <w:p>
            <w:pPr>
              <w:spacing w:line="240" w:lineRule="auto"/>
              <w:ind w:firstLine="0" w:firstLineChars="0"/>
              <w:rPr>
                <w:rFonts w:eastAsia="仿宋_GB2312" w:cs="Times New Roman"/>
                <w:kern w:val="0"/>
                <w:szCs w:val="24"/>
              </w:rPr>
            </w:pPr>
            <w:r>
              <w:rPr>
                <w:rFonts w:eastAsia="仿宋_GB2312" w:cs="Times New Roman"/>
                <w:kern w:val="0"/>
                <w:szCs w:val="24"/>
              </w:rPr>
              <w:t>Ⅲ级</w:t>
            </w:r>
            <w:r>
              <w:rPr>
                <w:rFonts w:hint="eastAsia" w:eastAsia="仿宋_GB2312" w:cs="Times New Roman"/>
                <w:kern w:val="0"/>
                <w:szCs w:val="24"/>
              </w:rPr>
              <w:t>/黄色级</w:t>
            </w:r>
            <w:r>
              <w:rPr>
                <w:rFonts w:eastAsia="仿宋_GB2312" w:cs="Times New Roman"/>
                <w:kern w:val="0"/>
                <w:szCs w:val="24"/>
              </w:rPr>
              <w:t>实验室</w:t>
            </w:r>
            <w:r>
              <w:rPr>
                <w:rFonts w:hint="eastAsia" w:eastAsia="仿宋_GB2312" w:cs="Times New Roman"/>
                <w:kern w:val="0"/>
                <w:szCs w:val="24"/>
              </w:rPr>
              <w:t>（中风险实验室）</w:t>
            </w:r>
          </w:p>
        </w:tc>
        <w:tc>
          <w:tcPr>
            <w:tcW w:w="7253" w:type="dxa"/>
          </w:tcPr>
          <w:p>
            <w:pPr>
              <w:spacing w:line="240" w:lineRule="auto"/>
              <w:ind w:firstLine="0" w:firstLineChars="0"/>
              <w:rPr>
                <w:rFonts w:eastAsia="仿宋_GB2312" w:cs="Times New Roman"/>
                <w:kern w:val="0"/>
                <w:szCs w:val="24"/>
              </w:rPr>
            </w:pPr>
            <w:r>
              <w:rPr>
                <w:rFonts w:eastAsia="仿宋_GB2312" w:cs="Times New Roman"/>
                <w:kern w:val="0"/>
                <w:szCs w:val="24"/>
              </w:rPr>
              <w:t>实验室有以下情况之一的：</w:t>
            </w:r>
          </w:p>
          <w:p>
            <w:pPr>
              <w:pStyle w:val="9"/>
              <w:numPr>
                <w:ilvl w:val="0"/>
                <w:numId w:val="3"/>
              </w:numPr>
              <w:spacing w:line="240" w:lineRule="auto"/>
              <w:ind w:firstLineChars="0"/>
              <w:rPr>
                <w:rFonts w:eastAsia="仿宋_GB2312" w:cs="Times New Roman"/>
                <w:kern w:val="0"/>
                <w:szCs w:val="24"/>
              </w:rPr>
            </w:pPr>
            <w:r>
              <w:rPr>
                <w:rFonts w:eastAsia="仿宋_GB2312" w:cs="Times New Roman"/>
                <w:kern w:val="0"/>
                <w:szCs w:val="24"/>
              </w:rPr>
              <w:t>存储第二/三类易制毒品；</w:t>
            </w:r>
          </w:p>
          <w:p>
            <w:pPr>
              <w:pStyle w:val="9"/>
              <w:numPr>
                <w:ilvl w:val="0"/>
                <w:numId w:val="3"/>
              </w:numPr>
              <w:spacing w:line="240" w:lineRule="auto"/>
              <w:ind w:firstLineChars="0"/>
              <w:rPr>
                <w:rFonts w:eastAsia="仿宋_GB2312" w:cs="Times New Roman"/>
                <w:kern w:val="0"/>
                <w:szCs w:val="24"/>
              </w:rPr>
            </w:pPr>
            <w:r>
              <w:rPr>
                <w:rFonts w:eastAsia="仿宋_GB2312" w:cs="Times New Roman"/>
                <w:kern w:val="0"/>
                <w:szCs w:val="24"/>
              </w:rPr>
              <w:t>生物安全</w:t>
            </w:r>
            <w:r>
              <w:rPr>
                <w:rFonts w:hint="eastAsia" w:eastAsia="仿宋_GB2312" w:cs="Times New Roman"/>
                <w:kern w:val="0"/>
                <w:szCs w:val="24"/>
              </w:rPr>
              <w:t>BSL-</w:t>
            </w:r>
            <w:r>
              <w:rPr>
                <w:rFonts w:eastAsia="仿宋_GB2312" w:cs="Times New Roman"/>
                <w:kern w:val="0"/>
                <w:szCs w:val="24"/>
              </w:rPr>
              <w:t>1</w:t>
            </w:r>
            <w:r>
              <w:rPr>
                <w:rFonts w:hint="eastAsia" w:eastAsia="仿宋_GB2312" w:cs="Times New Roman"/>
                <w:kern w:val="0"/>
                <w:szCs w:val="24"/>
              </w:rPr>
              <w:t>、ABSL-1</w:t>
            </w:r>
            <w:r>
              <w:rPr>
                <w:rFonts w:eastAsia="仿宋_GB2312" w:cs="Times New Roman"/>
                <w:kern w:val="0"/>
                <w:szCs w:val="24"/>
              </w:rPr>
              <w:t>实验室；</w:t>
            </w:r>
          </w:p>
          <w:p>
            <w:pPr>
              <w:pStyle w:val="9"/>
              <w:numPr>
                <w:ilvl w:val="0"/>
                <w:numId w:val="3"/>
              </w:numPr>
              <w:spacing w:line="240" w:lineRule="auto"/>
              <w:ind w:firstLineChars="0"/>
              <w:rPr>
                <w:rFonts w:eastAsia="仿宋_GB2312" w:cs="Times New Roman"/>
                <w:kern w:val="0"/>
                <w:szCs w:val="24"/>
              </w:rPr>
            </w:pPr>
            <w:r>
              <w:rPr>
                <w:rFonts w:eastAsia="仿宋_GB2312" w:cs="Times New Roman"/>
                <w:kern w:val="0"/>
                <w:szCs w:val="24"/>
              </w:rPr>
              <w:t>基础设备老化；</w:t>
            </w:r>
          </w:p>
          <w:p>
            <w:pPr>
              <w:pStyle w:val="9"/>
              <w:numPr>
                <w:ilvl w:val="0"/>
                <w:numId w:val="3"/>
              </w:numPr>
              <w:spacing w:line="240" w:lineRule="auto"/>
              <w:ind w:firstLineChars="0"/>
              <w:rPr>
                <w:rFonts w:eastAsia="仿宋_GB2312" w:cs="Times New Roman"/>
                <w:kern w:val="0"/>
                <w:szCs w:val="24"/>
              </w:rPr>
            </w:pPr>
            <w:r>
              <w:rPr>
                <w:rFonts w:eastAsia="仿宋_GB2312" w:cs="Times New Roman"/>
                <w:kern w:val="0"/>
                <w:szCs w:val="24"/>
              </w:rPr>
              <w:t>高校自行</w:t>
            </w:r>
            <w:r>
              <w:rPr>
                <w:rFonts w:hint="eastAsia" w:eastAsia="仿宋_GB2312" w:cs="Times New Roman"/>
                <w:kern w:val="0"/>
                <w:szCs w:val="24"/>
              </w:rPr>
              <w:t>规定</w:t>
            </w:r>
            <w:r>
              <w:rPr>
                <w:rFonts w:eastAsia="仿宋_GB2312" w:cs="Times New Roman"/>
                <w:kern w:val="0"/>
                <w:szCs w:val="24"/>
              </w:rPr>
              <w:t>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 w:hRule="atLeast"/>
        </w:trPr>
        <w:tc>
          <w:tcPr>
            <w:tcW w:w="1556" w:type="dxa"/>
            <w:vMerge w:val="continue"/>
          </w:tcPr>
          <w:p>
            <w:pPr>
              <w:spacing w:line="240" w:lineRule="auto"/>
              <w:ind w:firstLine="0" w:firstLineChars="0"/>
              <w:rPr>
                <w:rFonts w:eastAsia="仿宋_GB2312" w:cs="Times New Roman"/>
                <w:kern w:val="0"/>
                <w:szCs w:val="24"/>
              </w:rPr>
            </w:pPr>
          </w:p>
        </w:tc>
        <w:tc>
          <w:tcPr>
            <w:tcW w:w="7253" w:type="dxa"/>
          </w:tcPr>
          <w:p>
            <w:pPr>
              <w:spacing w:line="240" w:lineRule="auto"/>
              <w:ind w:firstLine="0" w:firstLineChars="0"/>
              <w:rPr>
                <w:rFonts w:eastAsia="仿宋_GB2312" w:cs="Times New Roman"/>
                <w:kern w:val="0"/>
                <w:szCs w:val="24"/>
              </w:rPr>
            </w:pPr>
            <w:r>
              <w:rPr>
                <w:rFonts w:eastAsia="仿宋_GB2312" w:cs="Times New Roman"/>
                <w:kern w:val="0"/>
                <w:szCs w:val="24"/>
              </w:rPr>
              <w:t>按照《高校实验室安全风险评价表》评分在[25, 75)范围的实验室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trPr>
        <w:tc>
          <w:tcPr>
            <w:tcW w:w="1556" w:type="dxa"/>
            <w:vMerge w:val="restart"/>
          </w:tcPr>
          <w:p>
            <w:pPr>
              <w:spacing w:line="240" w:lineRule="auto"/>
              <w:ind w:firstLine="0" w:firstLineChars="0"/>
              <w:rPr>
                <w:rFonts w:eastAsia="仿宋_GB2312" w:cs="Times New Roman"/>
                <w:kern w:val="0"/>
                <w:szCs w:val="24"/>
              </w:rPr>
            </w:pPr>
            <w:r>
              <w:rPr>
                <w:rFonts w:eastAsia="仿宋_GB2312" w:cs="Times New Roman"/>
                <w:kern w:val="0"/>
                <w:szCs w:val="24"/>
              </w:rPr>
              <w:t>Ⅳ级</w:t>
            </w:r>
            <w:r>
              <w:rPr>
                <w:rFonts w:hint="eastAsia" w:eastAsia="仿宋_GB2312" w:cs="Times New Roman"/>
                <w:kern w:val="0"/>
                <w:szCs w:val="24"/>
              </w:rPr>
              <w:t>/蓝色级</w:t>
            </w:r>
            <w:r>
              <w:rPr>
                <w:rFonts w:eastAsia="仿宋_GB2312" w:cs="Times New Roman"/>
                <w:kern w:val="0"/>
                <w:szCs w:val="24"/>
              </w:rPr>
              <w:t>实验室</w:t>
            </w:r>
            <w:r>
              <w:rPr>
                <w:rFonts w:hint="eastAsia" w:eastAsia="仿宋_GB2312" w:cs="Times New Roman"/>
                <w:kern w:val="0"/>
                <w:szCs w:val="24"/>
              </w:rPr>
              <w:t>（低风险实验室）</w:t>
            </w:r>
          </w:p>
        </w:tc>
        <w:tc>
          <w:tcPr>
            <w:tcW w:w="7253" w:type="dxa"/>
          </w:tcPr>
          <w:p>
            <w:pPr>
              <w:pStyle w:val="9"/>
              <w:spacing w:line="240" w:lineRule="auto"/>
              <w:ind w:firstLine="0" w:firstLineChars="0"/>
              <w:rPr>
                <w:rFonts w:eastAsia="仿宋_GB2312" w:cs="Times New Roman"/>
                <w:kern w:val="0"/>
                <w:szCs w:val="24"/>
              </w:rPr>
            </w:pPr>
            <w:r>
              <w:rPr>
                <w:rFonts w:eastAsia="仿宋_GB2312" w:cs="Times New Roman"/>
                <w:kern w:val="0"/>
                <w:szCs w:val="24"/>
              </w:rPr>
              <w:t>实验室有以下情况之一的：</w:t>
            </w:r>
          </w:p>
          <w:p>
            <w:pPr>
              <w:pStyle w:val="9"/>
              <w:numPr>
                <w:ilvl w:val="0"/>
                <w:numId w:val="4"/>
              </w:numPr>
              <w:spacing w:line="240" w:lineRule="auto"/>
              <w:ind w:firstLineChars="0"/>
              <w:rPr>
                <w:rFonts w:eastAsia="仿宋_GB2312" w:cs="Times New Roman"/>
                <w:kern w:val="0"/>
                <w:szCs w:val="24"/>
              </w:rPr>
            </w:pPr>
            <w:r>
              <w:rPr>
                <w:rFonts w:eastAsia="仿宋_GB2312" w:cs="Times New Roman"/>
                <w:kern w:val="0"/>
                <w:szCs w:val="24"/>
              </w:rPr>
              <w:t>不涉及重要危险源的实验室；</w:t>
            </w:r>
          </w:p>
          <w:p>
            <w:pPr>
              <w:pStyle w:val="9"/>
              <w:numPr>
                <w:ilvl w:val="0"/>
                <w:numId w:val="4"/>
              </w:numPr>
              <w:spacing w:line="240" w:lineRule="auto"/>
              <w:ind w:firstLineChars="0"/>
              <w:rPr>
                <w:rFonts w:eastAsia="仿宋_GB2312" w:cs="Times New Roman"/>
                <w:kern w:val="0"/>
                <w:szCs w:val="24"/>
              </w:rPr>
            </w:pPr>
            <w:r>
              <w:rPr>
                <w:rFonts w:eastAsia="仿宋_GB2312" w:cs="Times New Roman"/>
                <w:kern w:val="0"/>
                <w:szCs w:val="24"/>
              </w:rPr>
              <w:t>主要涉及一般性消防安全、用电安全的实验室；</w:t>
            </w:r>
          </w:p>
          <w:p>
            <w:pPr>
              <w:pStyle w:val="9"/>
              <w:numPr>
                <w:ilvl w:val="0"/>
                <w:numId w:val="4"/>
              </w:numPr>
              <w:spacing w:line="240" w:lineRule="auto"/>
              <w:ind w:firstLineChars="0"/>
              <w:rPr>
                <w:rFonts w:eastAsia="仿宋_GB2312" w:cs="Times New Roman"/>
                <w:kern w:val="0"/>
                <w:szCs w:val="24"/>
              </w:rPr>
            </w:pPr>
            <w:r>
              <w:rPr>
                <w:rFonts w:eastAsia="仿宋_GB2312" w:cs="Times New Roman"/>
                <w:kern w:val="0"/>
                <w:szCs w:val="24"/>
              </w:rPr>
              <w:t>高校自行</w:t>
            </w:r>
            <w:r>
              <w:rPr>
                <w:rFonts w:hint="eastAsia" w:eastAsia="仿宋_GB2312" w:cs="Times New Roman"/>
                <w:kern w:val="0"/>
                <w:szCs w:val="24"/>
              </w:rPr>
              <w:t>规定</w:t>
            </w:r>
            <w:r>
              <w:rPr>
                <w:rFonts w:eastAsia="仿宋_GB2312" w:cs="Times New Roman"/>
                <w:kern w:val="0"/>
                <w:szCs w:val="24"/>
              </w:rPr>
              <w:t>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1" w:hRule="atLeast"/>
        </w:trPr>
        <w:tc>
          <w:tcPr>
            <w:tcW w:w="1556" w:type="dxa"/>
            <w:vMerge w:val="continue"/>
          </w:tcPr>
          <w:p>
            <w:pPr>
              <w:spacing w:line="240" w:lineRule="auto"/>
              <w:ind w:firstLine="0" w:firstLineChars="0"/>
              <w:rPr>
                <w:rFonts w:eastAsia="仿宋_GB2312" w:cs="Times New Roman"/>
                <w:kern w:val="0"/>
                <w:szCs w:val="24"/>
              </w:rPr>
            </w:pPr>
          </w:p>
        </w:tc>
        <w:tc>
          <w:tcPr>
            <w:tcW w:w="7253" w:type="dxa"/>
          </w:tcPr>
          <w:p>
            <w:pPr>
              <w:spacing w:line="240" w:lineRule="auto"/>
              <w:ind w:firstLine="0" w:firstLineChars="0"/>
              <w:rPr>
                <w:rFonts w:eastAsia="仿宋_GB2312" w:cs="Times New Roman"/>
                <w:kern w:val="0"/>
                <w:szCs w:val="24"/>
              </w:rPr>
            </w:pPr>
            <w:r>
              <w:rPr>
                <w:rFonts w:eastAsia="仿宋_GB2312" w:cs="Times New Roman"/>
                <w:kern w:val="0"/>
                <w:szCs w:val="24"/>
              </w:rPr>
              <w:t>按照《高校实验室安全风险评价表》评分在[0, 25)范围的实验室</w:t>
            </w:r>
          </w:p>
        </w:tc>
      </w:tr>
    </w:tbl>
    <w:p>
      <w:pPr>
        <w:spacing w:line="240" w:lineRule="auto"/>
        <w:ind w:firstLine="0" w:firstLineChars="0"/>
        <w:rPr>
          <w:rFonts w:eastAsia="仿宋_GB2312" w:cs="Times New Roman"/>
        </w:rPr>
      </w:pPr>
      <w:r>
        <w:rPr>
          <w:rFonts w:hint="eastAsia" w:eastAsia="仿宋_GB2312" w:cs="Times New Roman"/>
        </w:rPr>
        <w:t>注：</w:t>
      </w:r>
    </w:p>
    <w:p>
      <w:pPr>
        <w:spacing w:line="240" w:lineRule="auto"/>
        <w:ind w:firstLine="480"/>
        <w:rPr>
          <w:rFonts w:eastAsia="仿宋_GB2312" w:cs="Times New Roman"/>
        </w:rPr>
      </w:pPr>
      <w:r>
        <w:rPr>
          <w:rFonts w:hint="eastAsia" w:eastAsia="仿宋_GB2312" w:cs="Times New Roman"/>
        </w:rPr>
        <w:t>1.实验室分级先按表中各级实验室所对应的参考情况划分，无所列情况的，按《高校实验室安全风险评价表》进行累计评分确定等级。</w:t>
      </w:r>
    </w:p>
    <w:p>
      <w:pPr>
        <w:spacing w:line="240" w:lineRule="auto"/>
        <w:ind w:firstLine="480"/>
        <w:rPr>
          <w:rFonts w:eastAsia="仿宋_GB2312" w:cs="Times New Roman"/>
        </w:rPr>
      </w:pPr>
      <w:r>
        <w:rPr>
          <w:rFonts w:hint="eastAsia" w:eastAsia="仿宋_GB2312" w:cs="Times New Roman"/>
        </w:rPr>
        <w:t>2.对于既有本表所列参考情况，又有《高校实验室安全风险评价表》所列危险源的，取两者较高者所对应的实验室等级。</w:t>
      </w:r>
    </w:p>
    <w:p>
      <w:pPr>
        <w:spacing w:line="240" w:lineRule="auto"/>
        <w:ind w:firstLine="480"/>
        <w:rPr>
          <w:rFonts w:eastAsia="仿宋_GB2312" w:cs="Times New Roman"/>
        </w:rPr>
      </w:pPr>
    </w:p>
    <w:p>
      <w:pPr>
        <w:spacing w:line="560" w:lineRule="exact"/>
        <w:ind w:firstLine="0" w:firstLineChars="0"/>
        <w:rPr>
          <w:rFonts w:ascii="黑体" w:hAnsi="黑体" w:eastAsia="黑体" w:cs="黑体"/>
          <w:sz w:val="32"/>
          <w:szCs w:val="32"/>
        </w:rPr>
      </w:pPr>
    </w:p>
    <w:p>
      <w:pPr>
        <w:ind w:firstLine="480"/>
      </w:pPr>
    </w:p>
    <w:p/>
    <w:p/>
    <w:p/>
    <w:p/>
    <w:p/>
    <w:p/>
    <w:p/>
    <w:p/>
    <w:p/>
    <w:p/>
    <w:p/>
    <w:p/>
    <w:p/>
    <w:p/>
    <w:p/>
    <w:p/>
    <w:p/>
    <w:p/>
    <w:p/>
    <w:p/>
    <w:p/>
    <w:p/>
    <w:p/>
    <w:p/>
    <w:p/>
    <w:p/>
    <w:p/>
    <w:p/>
    <w:p/>
    <w:p>
      <w:pPr>
        <w:spacing w:after="312" w:afterLines="100" w:line="560" w:lineRule="exact"/>
        <w:ind w:firstLine="0" w:firstLineChars="0"/>
        <w:rPr>
          <w:rFonts w:eastAsia="黑体" w:cs="Times New Roman"/>
          <w:sz w:val="32"/>
          <w:szCs w:val="32"/>
        </w:rPr>
      </w:pPr>
      <w:r>
        <w:rPr>
          <w:rFonts w:hint="eastAsia" w:ascii="黑体" w:hAnsi="黑体" w:eastAsia="黑体" w:cs="黑体"/>
          <w:sz w:val="32"/>
          <w:szCs w:val="32"/>
        </w:rPr>
        <w:t>附件</w:t>
      </w:r>
      <w:r>
        <w:rPr>
          <w:rFonts w:eastAsia="黑体" w:cs="Times New Roman"/>
          <w:sz w:val="32"/>
          <w:szCs w:val="32"/>
        </w:rPr>
        <w:t>2</w:t>
      </w:r>
    </w:p>
    <w:p>
      <w:pPr>
        <w:spacing w:after="312" w:afterLines="100" w:line="560" w:lineRule="exact"/>
        <w:ind w:firstLine="0" w:firstLineChars="0"/>
        <w:jc w:val="center"/>
        <w:rPr>
          <w:rFonts w:ascii="方正小标宋简体" w:hAnsi="方正小标宋简体" w:eastAsia="方正小标宋简体" w:cs="方正小标宋简体"/>
          <w:sz w:val="44"/>
          <w:szCs w:val="40"/>
        </w:rPr>
      </w:pPr>
      <w:r>
        <w:rPr>
          <w:rFonts w:hint="eastAsia" w:ascii="方正小标宋简体" w:hAnsi="方正小标宋简体" w:eastAsia="方正小标宋简体" w:cs="方正小标宋简体"/>
          <w:sz w:val="44"/>
          <w:szCs w:val="40"/>
        </w:rPr>
        <w:t>高校实验室安全风险评价表</w:t>
      </w:r>
    </w:p>
    <w:tbl>
      <w:tblPr>
        <w:tblStyle w:val="5"/>
        <w:tblW w:w="8959"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1"/>
        <w:gridCol w:w="7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tblHeader/>
        </w:trPr>
        <w:tc>
          <w:tcPr>
            <w:tcW w:w="1481" w:type="dxa"/>
          </w:tcPr>
          <w:p>
            <w:pPr>
              <w:spacing w:line="240" w:lineRule="auto"/>
              <w:ind w:firstLine="0" w:firstLineChars="0"/>
              <w:jc w:val="center"/>
              <w:rPr>
                <w:rFonts w:ascii="黑体" w:hAnsi="黑体" w:eastAsia="黑体" w:cs="黑体"/>
                <w:bCs/>
                <w:kern w:val="0"/>
                <w:szCs w:val="24"/>
              </w:rPr>
            </w:pPr>
            <w:r>
              <w:rPr>
                <w:rFonts w:hint="eastAsia" w:ascii="黑体" w:hAnsi="黑体" w:eastAsia="黑体" w:cs="黑体"/>
                <w:bCs/>
                <w:kern w:val="0"/>
                <w:szCs w:val="24"/>
              </w:rPr>
              <w:t>每项计分</w:t>
            </w:r>
          </w:p>
        </w:tc>
        <w:tc>
          <w:tcPr>
            <w:tcW w:w="7478" w:type="dxa"/>
          </w:tcPr>
          <w:p>
            <w:pPr>
              <w:spacing w:line="240" w:lineRule="auto"/>
              <w:ind w:firstLine="0" w:firstLineChars="0"/>
              <w:jc w:val="center"/>
              <w:rPr>
                <w:rFonts w:ascii="黑体" w:hAnsi="黑体" w:eastAsia="黑体" w:cs="黑体"/>
                <w:bCs/>
                <w:kern w:val="0"/>
                <w:szCs w:val="24"/>
              </w:rPr>
            </w:pPr>
            <w:r>
              <w:rPr>
                <w:rFonts w:hint="eastAsia" w:ascii="黑体" w:hAnsi="黑体" w:eastAsia="黑体" w:cs="黑体"/>
                <w:bCs/>
                <w:kern w:val="0"/>
                <w:szCs w:val="24"/>
              </w:rPr>
              <w:t>风险源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8" w:hRule="atLeast"/>
        </w:trPr>
        <w:tc>
          <w:tcPr>
            <w:tcW w:w="1481" w:type="dxa"/>
          </w:tcPr>
          <w:p>
            <w:pPr>
              <w:spacing w:line="240" w:lineRule="auto"/>
              <w:ind w:firstLine="0" w:firstLineChars="0"/>
              <w:rPr>
                <w:rFonts w:eastAsia="仿宋_GB2312" w:cs="Times New Roman"/>
                <w:kern w:val="0"/>
                <w:szCs w:val="24"/>
              </w:rPr>
            </w:pPr>
            <w:r>
              <w:rPr>
                <w:rFonts w:eastAsia="仿宋_GB2312" w:cs="Times New Roman"/>
                <w:kern w:val="0"/>
                <w:szCs w:val="24"/>
              </w:rPr>
              <w:t>25分</w:t>
            </w:r>
          </w:p>
          <w:p>
            <w:pPr>
              <w:spacing w:line="240" w:lineRule="auto"/>
              <w:ind w:firstLine="0" w:firstLineChars="0"/>
              <w:rPr>
                <w:rFonts w:eastAsia="仿宋_GB2312" w:cs="Times New Roman"/>
                <w:kern w:val="0"/>
                <w:szCs w:val="24"/>
              </w:rPr>
            </w:pPr>
          </w:p>
        </w:tc>
        <w:tc>
          <w:tcPr>
            <w:tcW w:w="7478" w:type="dxa"/>
          </w:tcPr>
          <w:p>
            <w:pPr>
              <w:pStyle w:val="9"/>
              <w:numPr>
                <w:ilvl w:val="0"/>
                <w:numId w:val="5"/>
              </w:numPr>
              <w:spacing w:line="240" w:lineRule="auto"/>
              <w:ind w:firstLine="0" w:firstLineChars="0"/>
              <w:rPr>
                <w:rFonts w:eastAsia="仿宋_GB2312" w:cs="Times New Roman"/>
                <w:kern w:val="0"/>
                <w:szCs w:val="24"/>
              </w:rPr>
            </w:pPr>
            <w:r>
              <w:rPr>
                <w:rFonts w:eastAsia="仿宋_GB2312" w:cs="Times New Roman"/>
                <w:kern w:val="0"/>
                <w:szCs w:val="24"/>
              </w:rPr>
              <w:t>存储易燃易爆化学品总量在5~20kg或5~20L；</w:t>
            </w:r>
          </w:p>
          <w:p>
            <w:pPr>
              <w:pStyle w:val="9"/>
              <w:numPr>
                <w:ilvl w:val="0"/>
                <w:numId w:val="5"/>
              </w:numPr>
              <w:spacing w:line="240" w:lineRule="auto"/>
              <w:ind w:firstLine="0" w:firstLineChars="0"/>
              <w:rPr>
                <w:rFonts w:eastAsia="仿宋_GB2312" w:cs="Times New Roman"/>
                <w:kern w:val="0"/>
                <w:szCs w:val="24"/>
              </w:rPr>
            </w:pPr>
            <w:r>
              <w:rPr>
                <w:rFonts w:eastAsia="仿宋_GB2312" w:cs="Times New Roman"/>
                <w:kern w:val="0"/>
                <w:szCs w:val="24"/>
              </w:rPr>
              <w:t>存储一般危化品总量50~100kg或50~100L；</w:t>
            </w:r>
          </w:p>
          <w:p>
            <w:pPr>
              <w:pStyle w:val="9"/>
              <w:numPr>
                <w:ilvl w:val="0"/>
                <w:numId w:val="5"/>
              </w:numPr>
              <w:spacing w:line="240" w:lineRule="auto"/>
              <w:ind w:firstLine="0" w:firstLineChars="0"/>
              <w:rPr>
                <w:rFonts w:eastAsia="仿宋_GB2312" w:cs="Times New Roman"/>
                <w:kern w:val="0"/>
                <w:szCs w:val="24"/>
              </w:rPr>
            </w:pPr>
            <w:r>
              <w:rPr>
                <w:rFonts w:eastAsia="仿宋_GB2312" w:cs="Times New Roman"/>
                <w:kern w:val="0"/>
                <w:szCs w:val="24"/>
              </w:rPr>
              <w:t>存储有毒、易燃气体总量为2瓶；</w:t>
            </w:r>
          </w:p>
          <w:p>
            <w:pPr>
              <w:pStyle w:val="9"/>
              <w:numPr>
                <w:ilvl w:val="0"/>
                <w:numId w:val="5"/>
              </w:numPr>
              <w:spacing w:line="240" w:lineRule="auto"/>
              <w:ind w:firstLine="0" w:firstLineChars="0"/>
              <w:rPr>
                <w:rFonts w:eastAsia="仿宋_GB2312" w:cs="Times New Roman"/>
                <w:kern w:val="0"/>
                <w:szCs w:val="24"/>
              </w:rPr>
            </w:pPr>
            <w:r>
              <w:rPr>
                <w:rFonts w:eastAsia="仿宋_GB2312" w:cs="Times New Roman"/>
                <w:kern w:val="0"/>
                <w:szCs w:val="24"/>
              </w:rPr>
              <w:t>使用III类射线设备的数量≥2台；</w:t>
            </w:r>
          </w:p>
          <w:p>
            <w:pPr>
              <w:pStyle w:val="9"/>
              <w:numPr>
                <w:ilvl w:val="0"/>
                <w:numId w:val="5"/>
              </w:numPr>
              <w:spacing w:line="240" w:lineRule="auto"/>
              <w:ind w:firstLine="0" w:firstLineChars="0"/>
              <w:rPr>
                <w:rFonts w:eastAsia="仿宋_GB2312" w:cs="Times New Roman"/>
                <w:kern w:val="0"/>
                <w:szCs w:val="24"/>
              </w:rPr>
            </w:pPr>
            <w:r>
              <w:rPr>
                <w:rFonts w:eastAsia="仿宋_GB2312" w:cs="Times New Roman"/>
                <w:kern w:val="0"/>
                <w:szCs w:val="24"/>
              </w:rPr>
              <w:t>使用简单压力容器的数量≥3台；</w:t>
            </w:r>
          </w:p>
          <w:p>
            <w:pPr>
              <w:pStyle w:val="9"/>
              <w:numPr>
                <w:ilvl w:val="0"/>
                <w:numId w:val="5"/>
              </w:numPr>
              <w:spacing w:line="240" w:lineRule="auto"/>
              <w:ind w:firstLine="0" w:firstLineChars="0"/>
              <w:rPr>
                <w:rFonts w:eastAsia="仿宋_GB2312" w:cs="Times New Roman"/>
                <w:kern w:val="0"/>
                <w:szCs w:val="24"/>
              </w:rPr>
            </w:pPr>
            <w:r>
              <w:rPr>
                <w:rFonts w:eastAsia="仿宋_GB2312" w:cs="Times New Roman"/>
                <w:kern w:val="0"/>
                <w:szCs w:val="24"/>
              </w:rPr>
              <w:t>实验室使用危险机加工装置的数量≥3台；</w:t>
            </w:r>
          </w:p>
          <w:p>
            <w:pPr>
              <w:pStyle w:val="9"/>
              <w:numPr>
                <w:ilvl w:val="0"/>
                <w:numId w:val="5"/>
              </w:numPr>
              <w:spacing w:line="240" w:lineRule="auto"/>
              <w:ind w:firstLine="0" w:firstLineChars="0"/>
              <w:rPr>
                <w:rFonts w:eastAsia="仿宋_GB2312" w:cs="Times New Roman"/>
                <w:kern w:val="0"/>
                <w:szCs w:val="24"/>
              </w:rPr>
            </w:pPr>
            <w:r>
              <w:rPr>
                <w:rFonts w:eastAsia="仿宋_GB2312" w:cs="Times New Roman"/>
                <w:kern w:val="0"/>
                <w:szCs w:val="24"/>
              </w:rPr>
              <w:t>实验室使用加热设备数量≥6台；</w:t>
            </w:r>
          </w:p>
          <w:p>
            <w:pPr>
              <w:pStyle w:val="9"/>
              <w:numPr>
                <w:ilvl w:val="0"/>
                <w:numId w:val="5"/>
              </w:numPr>
              <w:spacing w:line="240" w:lineRule="auto"/>
              <w:ind w:firstLine="0" w:firstLineChars="0"/>
              <w:rPr>
                <w:rFonts w:eastAsia="仿宋_GB2312" w:cs="Times New Roman"/>
                <w:kern w:val="0"/>
                <w:szCs w:val="24"/>
              </w:rPr>
            </w:pPr>
            <w:r>
              <w:rPr>
                <w:rFonts w:eastAsia="仿宋_GB2312" w:cs="Times New Roman"/>
                <w:kern w:val="0"/>
                <w:szCs w:val="24"/>
              </w:rPr>
              <w:t>实验室每月危险废物产生量≥100 L或kg；</w:t>
            </w:r>
          </w:p>
          <w:p>
            <w:pPr>
              <w:pStyle w:val="9"/>
              <w:numPr>
                <w:ilvl w:val="0"/>
                <w:numId w:val="5"/>
              </w:numPr>
              <w:spacing w:line="240" w:lineRule="auto"/>
              <w:ind w:firstLine="0" w:firstLineChars="0"/>
              <w:rPr>
                <w:rFonts w:eastAsia="仿宋_GB2312" w:cs="Times New Roman"/>
                <w:kern w:val="0"/>
                <w:szCs w:val="24"/>
              </w:rPr>
            </w:pPr>
            <w:r>
              <w:rPr>
                <w:rFonts w:eastAsia="仿宋_GB2312" w:cs="Times New Roman"/>
                <w:kern w:val="0"/>
                <w:szCs w:val="24"/>
              </w:rPr>
              <w:t>高校自行</w:t>
            </w:r>
            <w:r>
              <w:rPr>
                <w:rFonts w:hint="eastAsia" w:eastAsia="仿宋_GB2312" w:cs="Times New Roman"/>
                <w:kern w:val="0"/>
                <w:szCs w:val="24"/>
              </w:rPr>
              <w:t>规定</w:t>
            </w:r>
            <w:r>
              <w:rPr>
                <w:rFonts w:eastAsia="仿宋_GB2312" w:cs="Times New Roman"/>
                <w:kern w:val="0"/>
                <w:szCs w:val="24"/>
              </w:rPr>
              <w:t>的其他情况</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81" w:type="dxa"/>
          </w:tcPr>
          <w:p>
            <w:pPr>
              <w:spacing w:line="240" w:lineRule="auto"/>
              <w:ind w:firstLine="0" w:firstLineChars="0"/>
              <w:rPr>
                <w:rFonts w:eastAsia="仿宋_GB2312" w:cs="Times New Roman"/>
                <w:kern w:val="0"/>
                <w:szCs w:val="24"/>
              </w:rPr>
            </w:pPr>
            <w:r>
              <w:rPr>
                <w:rFonts w:eastAsia="仿宋_GB2312" w:cs="Times New Roman"/>
                <w:kern w:val="0"/>
                <w:szCs w:val="24"/>
              </w:rPr>
              <w:t>10分</w:t>
            </w:r>
          </w:p>
        </w:tc>
        <w:tc>
          <w:tcPr>
            <w:tcW w:w="7478" w:type="dxa"/>
          </w:tcPr>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使用超过人体安全电压（36V）的实验；</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涉及合成放热实验；</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涉及压力实验；</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产生易燃气体的实验；</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涉及持续加热实验；</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使用一般</w:t>
            </w:r>
            <w:r>
              <w:rPr>
                <w:rFonts w:hint="eastAsia" w:eastAsia="仿宋_GB2312" w:cs="Times New Roman"/>
                <w:kern w:val="0"/>
                <w:szCs w:val="24"/>
              </w:rPr>
              <w:t>实验室自制设备</w:t>
            </w:r>
            <w:r>
              <w:rPr>
                <w:rFonts w:eastAsia="仿宋_GB2312" w:cs="Times New Roman"/>
                <w:kern w:val="0"/>
                <w:szCs w:val="24"/>
              </w:rPr>
              <w:t>；</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存储易燃易爆化学品＜5kg或5L；</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实验室存储一般危化品总量＜50kg或50L；</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存储有毒、易燃气体1瓶；</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存储或使用有活性的病原微生物，对人或其他动物感染性较弱，或感染后易治愈；</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使用简单压力容器1~2台；</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使用III类射线设备1台；</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使用危险机加工装置1~2台；</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使用一般机加工装置的数量≥5台；</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实验室一般用电设备负载≥80%设计负载；</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使用2、2M、1、1M类激光设备的数量≥3台；</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实验室每月危险废物产生量为20~100 L或kg；</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实验室使用</w:t>
            </w:r>
            <w:r>
              <w:rPr>
                <w:rFonts w:hint="eastAsia" w:eastAsia="仿宋_GB2312" w:cs="Times New Roman"/>
                <w:kern w:val="0"/>
                <w:szCs w:val="24"/>
              </w:rPr>
              <w:t>加热设备数量</w:t>
            </w:r>
            <w:r>
              <w:rPr>
                <w:rFonts w:eastAsia="仿宋_GB2312" w:cs="Times New Roman"/>
                <w:kern w:val="0"/>
                <w:szCs w:val="24"/>
              </w:rPr>
              <w:t>3~5台；</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实验室使用每1台明火设备；</w:t>
            </w:r>
          </w:p>
          <w:p>
            <w:pPr>
              <w:pStyle w:val="9"/>
              <w:numPr>
                <w:ilvl w:val="0"/>
                <w:numId w:val="6"/>
              </w:numPr>
              <w:spacing w:line="240" w:lineRule="auto"/>
              <w:ind w:firstLineChars="0"/>
              <w:rPr>
                <w:rFonts w:eastAsia="仿宋_GB2312" w:cs="Times New Roman"/>
                <w:kern w:val="0"/>
                <w:szCs w:val="24"/>
              </w:rPr>
            </w:pPr>
            <w:r>
              <w:rPr>
                <w:rFonts w:eastAsia="仿宋_GB2312" w:cs="Times New Roman"/>
                <w:kern w:val="0"/>
                <w:szCs w:val="24"/>
              </w:rPr>
              <w:t>高校自行</w:t>
            </w:r>
            <w:r>
              <w:rPr>
                <w:rFonts w:hint="eastAsia" w:eastAsia="仿宋_GB2312" w:cs="Times New Roman"/>
                <w:kern w:val="0"/>
                <w:szCs w:val="24"/>
              </w:rPr>
              <w:t>规定</w:t>
            </w:r>
            <w:r>
              <w:rPr>
                <w:rFonts w:eastAsia="仿宋_GB2312" w:cs="Times New Roman"/>
                <w:kern w:val="0"/>
                <w:szCs w:val="24"/>
              </w:rPr>
              <w:t>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5" w:hRule="atLeast"/>
        </w:trPr>
        <w:tc>
          <w:tcPr>
            <w:tcW w:w="1481" w:type="dxa"/>
          </w:tcPr>
          <w:p>
            <w:pPr>
              <w:spacing w:line="240" w:lineRule="auto"/>
              <w:ind w:firstLine="0" w:firstLineChars="0"/>
              <w:rPr>
                <w:rFonts w:eastAsia="仿宋_GB2312" w:cs="Times New Roman"/>
                <w:kern w:val="0"/>
                <w:szCs w:val="24"/>
              </w:rPr>
            </w:pPr>
            <w:r>
              <w:rPr>
                <w:rFonts w:eastAsia="仿宋_GB2312" w:cs="Times New Roman"/>
                <w:kern w:val="0"/>
                <w:szCs w:val="24"/>
              </w:rPr>
              <w:t>5分</w:t>
            </w:r>
          </w:p>
        </w:tc>
        <w:tc>
          <w:tcPr>
            <w:tcW w:w="7478" w:type="dxa"/>
          </w:tcPr>
          <w:p>
            <w:pPr>
              <w:pStyle w:val="9"/>
              <w:numPr>
                <w:ilvl w:val="0"/>
                <w:numId w:val="7"/>
              </w:numPr>
              <w:spacing w:line="240" w:lineRule="auto"/>
              <w:ind w:firstLineChars="0"/>
              <w:rPr>
                <w:rFonts w:eastAsia="仿宋_GB2312" w:cs="Times New Roman"/>
                <w:kern w:val="0"/>
                <w:szCs w:val="24"/>
              </w:rPr>
            </w:pPr>
            <w:r>
              <w:rPr>
                <w:rFonts w:eastAsia="仿宋_GB2312" w:cs="Times New Roman"/>
                <w:kern w:val="0"/>
                <w:szCs w:val="24"/>
              </w:rPr>
              <w:t>存储普通气体1~4瓶；</w:t>
            </w:r>
          </w:p>
          <w:p>
            <w:pPr>
              <w:pStyle w:val="9"/>
              <w:numPr>
                <w:ilvl w:val="0"/>
                <w:numId w:val="7"/>
              </w:numPr>
              <w:spacing w:line="240" w:lineRule="auto"/>
              <w:ind w:firstLineChars="0"/>
              <w:rPr>
                <w:rFonts w:eastAsia="仿宋_GB2312" w:cs="Times New Roman"/>
                <w:kern w:val="0"/>
                <w:szCs w:val="24"/>
              </w:rPr>
            </w:pPr>
            <w:r>
              <w:rPr>
                <w:rFonts w:eastAsia="仿宋_GB2312" w:cs="Times New Roman"/>
                <w:kern w:val="0"/>
                <w:szCs w:val="24"/>
              </w:rPr>
              <w:t>使用一般机加工装置1~4台；</w:t>
            </w:r>
          </w:p>
          <w:p>
            <w:pPr>
              <w:pStyle w:val="9"/>
              <w:numPr>
                <w:ilvl w:val="0"/>
                <w:numId w:val="7"/>
              </w:numPr>
              <w:spacing w:line="240" w:lineRule="auto"/>
              <w:ind w:firstLineChars="0"/>
              <w:rPr>
                <w:rFonts w:eastAsia="仿宋_GB2312" w:cs="Times New Roman"/>
                <w:kern w:val="0"/>
                <w:szCs w:val="24"/>
              </w:rPr>
            </w:pPr>
            <w:r>
              <w:rPr>
                <w:rFonts w:eastAsia="仿宋_GB2312" w:cs="Times New Roman"/>
                <w:kern w:val="0"/>
                <w:szCs w:val="24"/>
              </w:rPr>
              <w:t>使用2、2M、1、1M类激光设备1~2台；</w:t>
            </w:r>
          </w:p>
          <w:p>
            <w:pPr>
              <w:pStyle w:val="9"/>
              <w:numPr>
                <w:ilvl w:val="0"/>
                <w:numId w:val="7"/>
              </w:numPr>
              <w:spacing w:line="240" w:lineRule="auto"/>
              <w:ind w:firstLineChars="0"/>
              <w:rPr>
                <w:rFonts w:eastAsia="仿宋_GB2312" w:cs="Times New Roman"/>
                <w:kern w:val="0"/>
                <w:szCs w:val="24"/>
              </w:rPr>
            </w:pPr>
            <w:r>
              <w:rPr>
                <w:rFonts w:eastAsia="仿宋_GB2312" w:cs="Times New Roman"/>
                <w:kern w:val="0"/>
                <w:szCs w:val="24"/>
              </w:rPr>
              <w:t>实验室每月危险废物产生量＜20 L或kg；</w:t>
            </w:r>
          </w:p>
          <w:p>
            <w:pPr>
              <w:pStyle w:val="9"/>
              <w:numPr>
                <w:ilvl w:val="0"/>
                <w:numId w:val="7"/>
              </w:numPr>
              <w:spacing w:line="240" w:lineRule="auto"/>
              <w:ind w:firstLineChars="0"/>
              <w:rPr>
                <w:rFonts w:eastAsia="仿宋_GB2312" w:cs="Times New Roman"/>
                <w:kern w:val="0"/>
                <w:szCs w:val="24"/>
              </w:rPr>
            </w:pPr>
            <w:r>
              <w:rPr>
                <w:rFonts w:eastAsia="仿宋_GB2312" w:cs="Times New Roman"/>
                <w:kern w:val="0"/>
                <w:szCs w:val="24"/>
              </w:rPr>
              <w:t>实验室使用加热设备</w:t>
            </w:r>
            <w:r>
              <w:rPr>
                <w:rFonts w:hint="eastAsia" w:eastAsia="仿宋_GB2312" w:cs="Times New Roman"/>
                <w:kern w:val="0"/>
                <w:szCs w:val="24"/>
              </w:rPr>
              <w:t>数量</w:t>
            </w:r>
            <w:r>
              <w:rPr>
                <w:rFonts w:eastAsia="仿宋_GB2312" w:cs="Times New Roman"/>
                <w:kern w:val="0"/>
                <w:szCs w:val="24"/>
              </w:rPr>
              <w:t>1~2台；</w:t>
            </w:r>
          </w:p>
          <w:p>
            <w:pPr>
              <w:pStyle w:val="9"/>
              <w:numPr>
                <w:ilvl w:val="0"/>
                <w:numId w:val="7"/>
              </w:numPr>
              <w:spacing w:line="240" w:lineRule="auto"/>
              <w:ind w:firstLineChars="0"/>
              <w:rPr>
                <w:rFonts w:eastAsia="仿宋_GB2312" w:cs="Times New Roman"/>
                <w:kern w:val="0"/>
                <w:szCs w:val="24"/>
              </w:rPr>
            </w:pPr>
            <w:r>
              <w:rPr>
                <w:rFonts w:eastAsia="仿宋_GB2312" w:cs="Times New Roman"/>
                <w:kern w:val="0"/>
                <w:szCs w:val="24"/>
              </w:rPr>
              <w:t>存放危险化学品的防爆冰箱或经防爆改造冰箱数量每1台</w:t>
            </w:r>
            <w:r>
              <w:rPr>
                <w:rFonts w:hint="eastAsia" w:eastAsia="仿宋_GB2312" w:cs="Times New Roman"/>
                <w:kern w:val="0"/>
                <w:szCs w:val="24"/>
              </w:rPr>
              <w:t>；</w:t>
            </w:r>
          </w:p>
          <w:p>
            <w:pPr>
              <w:pStyle w:val="9"/>
              <w:numPr>
                <w:ilvl w:val="0"/>
                <w:numId w:val="7"/>
              </w:numPr>
              <w:spacing w:line="240" w:lineRule="auto"/>
              <w:ind w:firstLineChars="0"/>
              <w:rPr>
                <w:rFonts w:eastAsia="仿宋_GB2312" w:cs="Times New Roman"/>
                <w:kern w:val="0"/>
                <w:szCs w:val="24"/>
              </w:rPr>
            </w:pPr>
            <w:r>
              <w:rPr>
                <w:rFonts w:eastAsia="仿宋_GB2312" w:cs="Times New Roman"/>
                <w:kern w:val="0"/>
                <w:szCs w:val="24"/>
              </w:rPr>
              <w:t>实验室使用每1台快捷电热设备；</w:t>
            </w:r>
          </w:p>
          <w:p>
            <w:pPr>
              <w:pStyle w:val="9"/>
              <w:numPr>
                <w:ilvl w:val="0"/>
                <w:numId w:val="7"/>
              </w:numPr>
              <w:spacing w:line="240" w:lineRule="auto"/>
              <w:ind w:firstLineChars="0"/>
              <w:rPr>
                <w:rFonts w:eastAsia="仿宋_GB2312" w:cs="Times New Roman"/>
                <w:kern w:val="0"/>
                <w:szCs w:val="24"/>
              </w:rPr>
            </w:pPr>
            <w:r>
              <w:rPr>
                <w:rFonts w:eastAsia="仿宋_GB2312" w:cs="Times New Roman"/>
                <w:kern w:val="0"/>
                <w:szCs w:val="24"/>
              </w:rPr>
              <w:t>高校自行</w:t>
            </w:r>
            <w:r>
              <w:rPr>
                <w:rFonts w:hint="eastAsia" w:eastAsia="仿宋_GB2312" w:cs="Times New Roman"/>
                <w:kern w:val="0"/>
                <w:szCs w:val="24"/>
              </w:rPr>
              <w:t>规定</w:t>
            </w:r>
            <w:r>
              <w:rPr>
                <w:rFonts w:eastAsia="仿宋_GB2312" w:cs="Times New Roman"/>
                <w:kern w:val="0"/>
                <w:szCs w:val="24"/>
              </w:rPr>
              <w:t>的其他情况</w:t>
            </w:r>
          </w:p>
        </w:tc>
      </w:tr>
    </w:tbl>
    <w:p>
      <w:pPr>
        <w:spacing w:line="240" w:lineRule="auto"/>
        <w:ind w:firstLine="0" w:firstLineChars="0"/>
        <w:rPr>
          <w:rFonts w:eastAsia="仿宋_GB2312" w:cs="Times New Roman"/>
        </w:rPr>
      </w:pPr>
      <w:r>
        <w:rPr>
          <w:rFonts w:eastAsia="仿宋_GB2312" w:cs="Times New Roman"/>
        </w:rPr>
        <w:t>注：</w:t>
      </w:r>
    </w:p>
    <w:p>
      <w:pPr>
        <w:spacing w:line="240" w:lineRule="auto"/>
        <w:ind w:firstLine="480"/>
        <w:rPr>
          <w:rFonts w:eastAsia="仿宋_GB2312" w:cs="Times New Roman"/>
        </w:rPr>
      </w:pPr>
      <w:r>
        <w:rPr>
          <w:rFonts w:eastAsia="仿宋_GB2312" w:cs="Times New Roman"/>
        </w:rPr>
        <w:t>1.表中所称实验室房间均以面积为50m</w:t>
      </w:r>
      <w:r>
        <w:rPr>
          <w:rFonts w:eastAsia="仿宋_GB2312" w:cs="Times New Roman"/>
          <w:vertAlign w:val="superscript"/>
        </w:rPr>
        <w:t>2</w:t>
      </w:r>
      <w:r>
        <w:rPr>
          <w:rFonts w:eastAsia="仿宋_GB2312" w:cs="Times New Roman"/>
        </w:rPr>
        <w:t>计，其他面积可按比例调整评价内容；</w:t>
      </w:r>
    </w:p>
    <w:p>
      <w:pPr>
        <w:spacing w:line="240" w:lineRule="auto"/>
        <w:ind w:firstLine="480"/>
        <w:rPr>
          <w:rFonts w:eastAsia="仿宋_GB2312" w:cs="Times New Roman"/>
        </w:rPr>
      </w:pPr>
      <w:r>
        <w:rPr>
          <w:rFonts w:eastAsia="仿宋_GB2312" w:cs="Times New Roman"/>
        </w:rPr>
        <w:t>2.表中符合任</w:t>
      </w:r>
      <w:r>
        <w:rPr>
          <w:rFonts w:hint="eastAsia" w:eastAsia="仿宋_GB2312" w:cs="Times New Roman"/>
        </w:rPr>
        <w:t>1</w:t>
      </w:r>
      <w:r>
        <w:rPr>
          <w:rFonts w:eastAsia="仿宋_GB2312" w:cs="Times New Roman"/>
        </w:rPr>
        <w:t>种情况计</w:t>
      </w:r>
      <w:r>
        <w:rPr>
          <w:rFonts w:hint="eastAsia" w:eastAsia="仿宋_GB2312" w:cs="Times New Roman"/>
        </w:rPr>
        <w:t>相应分数</w:t>
      </w:r>
      <w:r>
        <w:rPr>
          <w:rFonts w:eastAsia="仿宋_GB2312" w:cs="Times New Roman"/>
        </w:rPr>
        <w:t>，符合多种情况</w:t>
      </w:r>
      <w:r>
        <w:rPr>
          <w:rFonts w:hint="eastAsia" w:eastAsia="仿宋_GB2312" w:cs="Times New Roman"/>
        </w:rPr>
        <w:t>，分数</w:t>
      </w:r>
      <w:r>
        <w:rPr>
          <w:rFonts w:eastAsia="仿宋_GB2312" w:cs="Times New Roman"/>
        </w:rPr>
        <w:t>累加计算</w:t>
      </w:r>
      <w:r>
        <w:rPr>
          <w:rFonts w:hint="eastAsia" w:eastAsia="仿宋_GB2312" w:cs="Times New Roman"/>
        </w:rPr>
        <w:t>，</w:t>
      </w:r>
      <w:r>
        <w:rPr>
          <w:rFonts w:eastAsia="仿宋_GB2312" w:cs="Times New Roman"/>
        </w:rPr>
        <w:t>最高100分；</w:t>
      </w:r>
    </w:p>
    <w:p>
      <w:pPr>
        <w:spacing w:line="240" w:lineRule="auto"/>
        <w:ind w:firstLine="480"/>
        <w:rPr>
          <w:rFonts w:eastAsia="仿宋_GB2312" w:cs="Times New Roman"/>
        </w:rPr>
      </w:pPr>
      <w:r>
        <w:rPr>
          <w:rFonts w:eastAsia="仿宋_GB2312" w:cs="Times New Roman"/>
        </w:rPr>
        <w:t>3.</w:t>
      </w:r>
      <w:r>
        <w:rPr>
          <w:rFonts w:hint="eastAsia" w:eastAsia="仿宋_GB2312" w:cs="Times New Roman"/>
        </w:rPr>
        <w:t>实验室自制设备</w:t>
      </w:r>
      <w:r>
        <w:rPr>
          <w:rFonts w:eastAsia="仿宋_GB2312" w:cs="Times New Roman"/>
        </w:rPr>
        <w:t>，是指由使用人自行或者委托其他单位进行设计、制造、安装的，并以其为载体进行实验活动的非标设备；对标准设备进行改造也参照自制</w:t>
      </w:r>
      <w:r>
        <w:rPr>
          <w:rFonts w:hint="eastAsia" w:eastAsia="仿宋_GB2312" w:cs="Times New Roman"/>
        </w:rPr>
        <w:t>设备</w:t>
      </w:r>
      <w:r>
        <w:rPr>
          <w:rFonts w:eastAsia="仿宋_GB2312" w:cs="Times New Roman"/>
        </w:rPr>
        <w:t>进行管理。</w:t>
      </w:r>
    </w:p>
    <w:p>
      <w:pPr>
        <w:ind w:firstLine="480"/>
      </w:pPr>
    </w:p>
    <w:p/>
    <w:p/>
    <w:p/>
    <w:p/>
    <w:p/>
    <w:p/>
    <w:p/>
    <w:p/>
    <w:p/>
    <w:p/>
    <w:p/>
    <w:p/>
    <w:p/>
    <w:p/>
    <w:p/>
    <w:p/>
    <w:p/>
    <w:p/>
    <w:p/>
    <w:p/>
    <w:p/>
    <w:p/>
    <w:p/>
    <w:p/>
    <w:p/>
    <w:p/>
    <w:p>
      <w:pPr>
        <w:spacing w:after="156" w:afterLines="50" w:line="560" w:lineRule="exact"/>
        <w:ind w:firstLine="0" w:firstLineChars="0"/>
        <w:rPr>
          <w:rFonts w:eastAsia="黑体" w:cs="Times New Roman"/>
          <w:sz w:val="32"/>
          <w:szCs w:val="32"/>
        </w:rPr>
      </w:pPr>
      <w:r>
        <w:rPr>
          <w:rFonts w:hint="eastAsia" w:ascii="黑体" w:hAnsi="黑体" w:eastAsia="黑体" w:cs="黑体"/>
          <w:sz w:val="32"/>
          <w:szCs w:val="32"/>
        </w:rPr>
        <w:t>附件</w:t>
      </w:r>
      <w:r>
        <w:rPr>
          <w:rFonts w:eastAsia="黑体" w:cs="Times New Roman"/>
          <w:sz w:val="32"/>
          <w:szCs w:val="32"/>
        </w:rPr>
        <w:t>3</w:t>
      </w:r>
    </w:p>
    <w:p>
      <w:pPr>
        <w:spacing w:after="312" w:afterLines="100" w:line="560" w:lineRule="exact"/>
        <w:ind w:firstLine="0" w:firstLineChars="0"/>
        <w:jc w:val="center"/>
        <w:rPr>
          <w:rFonts w:ascii="方正小标宋简体" w:eastAsia="方正小标宋简体" w:cs="Times New Roman"/>
          <w:sz w:val="44"/>
          <w:szCs w:val="44"/>
        </w:rPr>
      </w:pPr>
      <w:r>
        <w:rPr>
          <w:rFonts w:hint="eastAsia" w:ascii="方正小标宋简体" w:eastAsia="方正小标宋简体" w:cs="Times New Roman"/>
          <w:sz w:val="44"/>
          <w:szCs w:val="44"/>
        </w:rPr>
        <w:t>高校实验室分类参照表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3"/>
        <w:gridCol w:w="1193"/>
        <w:gridCol w:w="6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04" w:type="dxa"/>
          </w:tcPr>
          <w:p>
            <w:pPr>
              <w:spacing w:line="400" w:lineRule="exact"/>
              <w:ind w:firstLine="0" w:firstLineChars="0"/>
              <w:jc w:val="center"/>
              <w:rPr>
                <w:rFonts w:eastAsia="黑体" w:cs="Times New Roman"/>
                <w:kern w:val="0"/>
                <w:szCs w:val="24"/>
              </w:rPr>
            </w:pPr>
            <w:r>
              <w:rPr>
                <w:rFonts w:eastAsia="黑体" w:cs="Times New Roman"/>
                <w:kern w:val="0"/>
                <w:szCs w:val="24"/>
              </w:rPr>
              <w:t>序号</w:t>
            </w:r>
          </w:p>
        </w:tc>
        <w:tc>
          <w:tcPr>
            <w:tcW w:w="1701" w:type="dxa"/>
          </w:tcPr>
          <w:p>
            <w:pPr>
              <w:spacing w:line="400" w:lineRule="exact"/>
              <w:ind w:firstLine="0" w:firstLineChars="0"/>
              <w:jc w:val="center"/>
              <w:rPr>
                <w:rFonts w:eastAsia="黑体" w:cs="Times New Roman"/>
                <w:kern w:val="0"/>
                <w:szCs w:val="24"/>
              </w:rPr>
            </w:pPr>
            <w:r>
              <w:rPr>
                <w:rFonts w:eastAsia="黑体" w:cs="Times New Roman"/>
                <w:kern w:val="0"/>
                <w:szCs w:val="24"/>
              </w:rPr>
              <w:t>实验室分类</w:t>
            </w:r>
          </w:p>
        </w:tc>
        <w:tc>
          <w:tcPr>
            <w:tcW w:w="10773" w:type="dxa"/>
          </w:tcPr>
          <w:p>
            <w:pPr>
              <w:spacing w:line="400" w:lineRule="exact"/>
              <w:ind w:firstLine="0" w:firstLineChars="0"/>
              <w:jc w:val="center"/>
              <w:rPr>
                <w:rFonts w:eastAsia="黑体" w:cs="Times New Roman"/>
                <w:kern w:val="0"/>
                <w:szCs w:val="24"/>
              </w:rPr>
            </w:pPr>
            <w:r>
              <w:rPr>
                <w:rFonts w:eastAsia="黑体" w:cs="Times New Roman"/>
                <w:kern w:val="0"/>
                <w:szCs w:val="24"/>
              </w:rPr>
              <w:t>分类参照依据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rPr>
        <w:tc>
          <w:tcPr>
            <w:tcW w:w="704" w:type="dxa"/>
            <w:vAlign w:val="center"/>
          </w:tcPr>
          <w:p>
            <w:pPr>
              <w:spacing w:line="400" w:lineRule="exact"/>
              <w:ind w:firstLine="0" w:firstLineChars="0"/>
              <w:jc w:val="center"/>
              <w:rPr>
                <w:rFonts w:eastAsia="仿宋_GB2312" w:cs="Times New Roman"/>
                <w:kern w:val="0"/>
                <w:szCs w:val="24"/>
              </w:rPr>
            </w:pPr>
            <w:r>
              <w:rPr>
                <w:rFonts w:eastAsia="仿宋_GB2312" w:cs="Times New Roman"/>
                <w:kern w:val="0"/>
                <w:szCs w:val="24"/>
              </w:rPr>
              <w:t>1</w:t>
            </w:r>
          </w:p>
        </w:tc>
        <w:tc>
          <w:tcPr>
            <w:tcW w:w="1701" w:type="dxa"/>
            <w:vAlign w:val="center"/>
          </w:tcPr>
          <w:p>
            <w:pPr>
              <w:spacing w:line="400" w:lineRule="exact"/>
              <w:ind w:firstLine="0" w:firstLineChars="0"/>
              <w:jc w:val="center"/>
              <w:rPr>
                <w:rFonts w:ascii="楷体" w:hAnsi="楷体" w:eastAsia="楷体" w:cs="楷体"/>
                <w:kern w:val="0"/>
                <w:szCs w:val="24"/>
              </w:rPr>
            </w:pPr>
            <w:r>
              <w:rPr>
                <w:rFonts w:hint="eastAsia" w:ascii="楷体" w:hAnsi="楷体" w:eastAsia="楷体" w:cs="楷体"/>
                <w:kern w:val="0"/>
                <w:szCs w:val="24"/>
              </w:rPr>
              <w:t>化学类实验室</w:t>
            </w:r>
          </w:p>
        </w:tc>
        <w:tc>
          <w:tcPr>
            <w:tcW w:w="10773" w:type="dxa"/>
            <w:vAlign w:val="center"/>
          </w:tcPr>
          <w:p>
            <w:pPr>
              <w:spacing w:line="400" w:lineRule="exact"/>
              <w:ind w:firstLine="0" w:firstLineChars="0"/>
              <w:rPr>
                <w:rFonts w:eastAsia="仿宋_GB2312" w:cs="Times New Roman"/>
                <w:kern w:val="0"/>
                <w:szCs w:val="24"/>
              </w:rPr>
            </w:pPr>
            <w:r>
              <w:rPr>
                <w:rFonts w:eastAsia="仿宋_GB2312" w:cs="Times New Roman"/>
                <w:kern w:val="0"/>
                <w:szCs w:val="24"/>
              </w:rPr>
              <w:t>包括从事化学、药学、化学工程、环境科学与工程、材料科学与工程等较多涉及化学试剂或化学反应的实验室。这类实验中的危险源分为两类，一类是易燃、易爆、有毒化学品（含实验气体）可能带来的化学性危险源，另一类是设备设施缺陷和防护缺陷所带来的物理性危险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704" w:type="dxa"/>
            <w:vAlign w:val="center"/>
          </w:tcPr>
          <w:p>
            <w:pPr>
              <w:spacing w:line="400" w:lineRule="exact"/>
              <w:ind w:firstLine="0" w:firstLineChars="0"/>
              <w:jc w:val="center"/>
              <w:rPr>
                <w:rFonts w:eastAsia="仿宋_GB2312" w:cs="Times New Roman"/>
                <w:kern w:val="0"/>
                <w:szCs w:val="24"/>
              </w:rPr>
            </w:pPr>
            <w:r>
              <w:rPr>
                <w:rFonts w:eastAsia="仿宋_GB2312" w:cs="Times New Roman"/>
                <w:kern w:val="0"/>
                <w:szCs w:val="24"/>
              </w:rPr>
              <w:t>2</w:t>
            </w:r>
          </w:p>
        </w:tc>
        <w:tc>
          <w:tcPr>
            <w:tcW w:w="1701" w:type="dxa"/>
            <w:vAlign w:val="center"/>
          </w:tcPr>
          <w:p>
            <w:pPr>
              <w:spacing w:line="400" w:lineRule="exact"/>
              <w:ind w:firstLine="0" w:firstLineChars="0"/>
              <w:jc w:val="center"/>
              <w:rPr>
                <w:rFonts w:ascii="楷体" w:hAnsi="楷体" w:eastAsia="楷体" w:cs="楷体"/>
                <w:kern w:val="0"/>
                <w:szCs w:val="24"/>
              </w:rPr>
            </w:pPr>
            <w:r>
              <w:rPr>
                <w:rFonts w:hint="eastAsia" w:ascii="楷体" w:hAnsi="楷体" w:eastAsia="楷体" w:cs="楷体"/>
                <w:kern w:val="0"/>
                <w:szCs w:val="24"/>
              </w:rPr>
              <w:t>生物类实验室</w:t>
            </w:r>
          </w:p>
        </w:tc>
        <w:tc>
          <w:tcPr>
            <w:tcW w:w="10773" w:type="dxa"/>
            <w:vAlign w:val="center"/>
          </w:tcPr>
          <w:p>
            <w:pPr>
              <w:spacing w:line="400" w:lineRule="exact"/>
              <w:ind w:firstLine="0" w:firstLineChars="0"/>
              <w:rPr>
                <w:rFonts w:eastAsia="仿宋_GB2312" w:cs="Times New Roman"/>
                <w:kern w:val="0"/>
                <w:szCs w:val="24"/>
              </w:rPr>
            </w:pPr>
            <w:r>
              <w:rPr>
                <w:rFonts w:eastAsia="仿宋_GB2312" w:cs="Times New Roman"/>
                <w:kern w:val="0"/>
                <w:szCs w:val="24"/>
              </w:rPr>
              <w:t>包括从事基因工程、微生物学等生物和医学专业中较多涉及病毒、细菌、真菌等微生物研究和动物研究的实验室。这类实验室中细菌、病毒、真菌、寄生虫、动物寄生微生物等为主要危险源，它们的释放、扩散可能会污染实验室内外环境的空气、水、物体表面或感染人体。涉及病原微生物的实验室应进行相应的审批或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trPr>
        <w:tc>
          <w:tcPr>
            <w:tcW w:w="704" w:type="dxa"/>
            <w:vAlign w:val="center"/>
          </w:tcPr>
          <w:p>
            <w:pPr>
              <w:spacing w:line="400" w:lineRule="exact"/>
              <w:ind w:firstLine="0" w:firstLineChars="0"/>
              <w:jc w:val="center"/>
              <w:rPr>
                <w:rFonts w:eastAsia="仿宋_GB2312" w:cs="Times New Roman"/>
                <w:kern w:val="0"/>
                <w:szCs w:val="24"/>
              </w:rPr>
            </w:pPr>
            <w:r>
              <w:rPr>
                <w:rFonts w:eastAsia="仿宋_GB2312" w:cs="Times New Roman"/>
                <w:kern w:val="0"/>
                <w:szCs w:val="24"/>
              </w:rPr>
              <w:t>3</w:t>
            </w:r>
          </w:p>
        </w:tc>
        <w:tc>
          <w:tcPr>
            <w:tcW w:w="1701" w:type="dxa"/>
            <w:vAlign w:val="center"/>
          </w:tcPr>
          <w:p>
            <w:pPr>
              <w:spacing w:line="400" w:lineRule="exact"/>
              <w:ind w:firstLine="0" w:firstLineChars="0"/>
              <w:jc w:val="center"/>
              <w:rPr>
                <w:rFonts w:ascii="楷体" w:hAnsi="楷体" w:eastAsia="楷体" w:cs="楷体"/>
                <w:kern w:val="0"/>
                <w:szCs w:val="24"/>
              </w:rPr>
            </w:pPr>
            <w:r>
              <w:rPr>
                <w:rFonts w:hint="eastAsia" w:ascii="楷体" w:hAnsi="楷体" w:eastAsia="楷体" w:cs="楷体"/>
                <w:kern w:val="0"/>
                <w:szCs w:val="24"/>
              </w:rPr>
              <w:t>辐射类实验室</w:t>
            </w:r>
          </w:p>
        </w:tc>
        <w:tc>
          <w:tcPr>
            <w:tcW w:w="10773" w:type="dxa"/>
            <w:vAlign w:val="center"/>
          </w:tcPr>
          <w:p>
            <w:pPr>
              <w:spacing w:line="400" w:lineRule="exact"/>
              <w:ind w:firstLine="0" w:firstLineChars="0"/>
              <w:rPr>
                <w:rFonts w:eastAsia="仿宋_GB2312" w:cs="Times New Roman"/>
                <w:kern w:val="0"/>
                <w:szCs w:val="24"/>
              </w:rPr>
            </w:pPr>
            <w:r>
              <w:rPr>
                <w:rFonts w:eastAsia="仿宋_GB2312" w:cs="Times New Roman"/>
                <w:kern w:val="0"/>
                <w:szCs w:val="24"/>
              </w:rPr>
              <w:t>包括物理、核科学与技术、医学、生物、化学</w:t>
            </w:r>
            <w:r>
              <w:rPr>
                <w:rFonts w:hint="eastAsia" w:eastAsia="仿宋_GB2312" w:cs="Times New Roman"/>
                <w:kern w:val="0"/>
                <w:szCs w:val="24"/>
              </w:rPr>
              <w:t>、</w:t>
            </w:r>
            <w:r>
              <w:rPr>
                <w:rFonts w:eastAsia="仿宋_GB2312" w:cs="Times New Roman"/>
                <w:kern w:val="0"/>
                <w:szCs w:val="24"/>
              </w:rPr>
              <w:t>材料科学与工程等专业方向中涉及放射性同位素、射线装置与核材料的实验室。这类实验中的危险源主要是放射性同位素、射线装置与核材料产生的电离辐射，可能对人体造成内外照射伤害，也可能对环境产生放射性污染；存放或使用核材料的实验室还存在核安全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1" w:hRule="atLeast"/>
        </w:trPr>
        <w:tc>
          <w:tcPr>
            <w:tcW w:w="704" w:type="dxa"/>
            <w:vAlign w:val="center"/>
          </w:tcPr>
          <w:p>
            <w:pPr>
              <w:spacing w:line="400" w:lineRule="exact"/>
              <w:ind w:firstLine="0" w:firstLineChars="0"/>
              <w:jc w:val="center"/>
              <w:rPr>
                <w:rFonts w:eastAsia="仿宋_GB2312" w:cs="Times New Roman"/>
                <w:kern w:val="0"/>
                <w:szCs w:val="24"/>
              </w:rPr>
            </w:pPr>
            <w:r>
              <w:rPr>
                <w:rFonts w:eastAsia="仿宋_GB2312" w:cs="Times New Roman"/>
                <w:kern w:val="0"/>
                <w:szCs w:val="24"/>
              </w:rPr>
              <w:t>4</w:t>
            </w:r>
          </w:p>
        </w:tc>
        <w:tc>
          <w:tcPr>
            <w:tcW w:w="1701" w:type="dxa"/>
            <w:vAlign w:val="center"/>
          </w:tcPr>
          <w:p>
            <w:pPr>
              <w:spacing w:line="400" w:lineRule="exact"/>
              <w:ind w:firstLine="0" w:firstLineChars="0"/>
              <w:jc w:val="center"/>
              <w:rPr>
                <w:rFonts w:ascii="楷体" w:hAnsi="楷体" w:eastAsia="楷体" w:cs="楷体"/>
                <w:kern w:val="0"/>
                <w:szCs w:val="24"/>
              </w:rPr>
            </w:pPr>
            <w:r>
              <w:rPr>
                <w:rFonts w:hint="eastAsia" w:ascii="楷体" w:hAnsi="楷体" w:eastAsia="楷体" w:cs="楷体"/>
                <w:kern w:val="0"/>
                <w:szCs w:val="24"/>
              </w:rPr>
              <w:t>机电类实验室</w:t>
            </w:r>
          </w:p>
        </w:tc>
        <w:tc>
          <w:tcPr>
            <w:tcW w:w="10773" w:type="dxa"/>
            <w:vAlign w:val="center"/>
          </w:tcPr>
          <w:p>
            <w:pPr>
              <w:spacing w:line="400" w:lineRule="exact"/>
              <w:ind w:firstLine="0" w:firstLineChars="0"/>
              <w:rPr>
                <w:rFonts w:eastAsia="仿宋_GB2312" w:cs="Times New Roman"/>
                <w:kern w:val="0"/>
                <w:szCs w:val="24"/>
              </w:rPr>
            </w:pPr>
            <w:r>
              <w:rPr>
                <w:rFonts w:eastAsia="仿宋_GB2312" w:cs="Times New Roman"/>
                <w:kern w:val="0"/>
                <w:szCs w:val="24"/>
              </w:rPr>
              <w:t>包括机械设计与制造、过程装备与控制、化工机械、材料物理、电气工程、激光工程和人工智能等专业方向中涉及高温、高压、高速、高大等机械设备及其他强电、强磁、激光或低温设备的实验室，以及大型机房等。这类实验室的</w:t>
            </w:r>
            <w:r>
              <w:rPr>
                <w:rFonts w:eastAsia="仿宋_GB2312" w:cs="Times New Roman"/>
                <w:b/>
                <w:bCs/>
                <w:kern w:val="0"/>
                <w:szCs w:val="24"/>
              </w:rPr>
              <w:t>主要危险包括夹击、碰撞、剪切、卷入、绞、碾、割、刺等形式的机械伤害以及灼伤、电路短路、人员触电、激光伤害、冻伤等因素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704" w:type="dxa"/>
            <w:vAlign w:val="center"/>
          </w:tcPr>
          <w:p>
            <w:pPr>
              <w:spacing w:line="400" w:lineRule="exact"/>
              <w:ind w:firstLine="0" w:firstLineChars="0"/>
              <w:jc w:val="center"/>
              <w:rPr>
                <w:rFonts w:eastAsia="仿宋_GB2312" w:cs="Times New Roman"/>
                <w:kern w:val="0"/>
                <w:szCs w:val="24"/>
              </w:rPr>
            </w:pPr>
            <w:r>
              <w:rPr>
                <w:rFonts w:eastAsia="仿宋_GB2312" w:cs="Times New Roman"/>
                <w:kern w:val="0"/>
                <w:szCs w:val="24"/>
              </w:rPr>
              <w:t>5</w:t>
            </w:r>
          </w:p>
        </w:tc>
        <w:tc>
          <w:tcPr>
            <w:tcW w:w="1701" w:type="dxa"/>
            <w:vAlign w:val="center"/>
          </w:tcPr>
          <w:p>
            <w:pPr>
              <w:spacing w:line="400" w:lineRule="exact"/>
              <w:ind w:firstLine="0" w:firstLineChars="0"/>
              <w:jc w:val="center"/>
              <w:rPr>
                <w:rFonts w:ascii="楷体" w:hAnsi="楷体" w:eastAsia="楷体" w:cs="楷体"/>
                <w:kern w:val="0"/>
                <w:szCs w:val="24"/>
              </w:rPr>
            </w:pPr>
            <w:r>
              <w:rPr>
                <w:rFonts w:hint="eastAsia" w:ascii="楷体" w:hAnsi="楷体" w:eastAsia="楷体" w:cs="楷体"/>
                <w:kern w:val="0"/>
                <w:szCs w:val="24"/>
              </w:rPr>
              <w:t>其他类实验室</w:t>
            </w:r>
          </w:p>
        </w:tc>
        <w:tc>
          <w:tcPr>
            <w:tcW w:w="10773" w:type="dxa"/>
            <w:vAlign w:val="center"/>
          </w:tcPr>
          <w:p>
            <w:pPr>
              <w:spacing w:line="400" w:lineRule="exact"/>
              <w:ind w:firstLine="0" w:firstLineChars="0"/>
              <w:rPr>
                <w:rFonts w:eastAsia="仿宋_GB2312" w:cs="Times New Roman"/>
                <w:kern w:val="0"/>
                <w:szCs w:val="24"/>
              </w:rPr>
            </w:pPr>
            <w:r>
              <w:rPr>
                <w:rFonts w:eastAsia="仿宋_GB2312" w:cs="Times New Roman"/>
                <w:kern w:val="0"/>
                <w:szCs w:val="24"/>
              </w:rPr>
              <w:t>包括社科类、艺术类专业相关的实验室或实训室，</w:t>
            </w:r>
            <w:r>
              <w:rPr>
                <w:rFonts w:eastAsia="仿宋_GB2312" w:cs="Times New Roman"/>
                <w:b/>
                <w:bCs/>
                <w:kern w:val="0"/>
                <w:szCs w:val="24"/>
              </w:rPr>
              <w:t>危险源主要是少量的用电设备可能带来的用电安全</w:t>
            </w:r>
            <w:r>
              <w:rPr>
                <w:rFonts w:hint="eastAsia" w:eastAsia="仿宋_GB2312" w:cs="Times New Roman"/>
                <w:b/>
                <w:bCs/>
                <w:kern w:val="0"/>
                <w:szCs w:val="24"/>
              </w:rPr>
              <w:t>或消防安全</w:t>
            </w:r>
            <w:r>
              <w:rPr>
                <w:rFonts w:eastAsia="仿宋_GB2312" w:cs="Times New Roman"/>
                <w:b/>
                <w:bCs/>
                <w:kern w:val="0"/>
                <w:szCs w:val="24"/>
              </w:rPr>
              <w:t>风险</w:t>
            </w:r>
          </w:p>
        </w:tc>
      </w:tr>
    </w:tbl>
    <w:p>
      <w:pPr>
        <w:ind w:firstLine="480"/>
      </w:pPr>
    </w:p>
    <w:p/>
    <w:p/>
    <w:p/>
    <w:p/>
    <w:p/>
    <w:p/>
    <w:p/>
    <w:p>
      <w:pPr>
        <w:spacing w:after="211" w:afterLines="50" w:line="560" w:lineRule="exact"/>
        <w:ind w:firstLine="0" w:firstLineChars="0"/>
        <w:rPr>
          <w:rFonts w:eastAsia="黑体" w:cs="Times New Roman"/>
          <w:sz w:val="32"/>
          <w:szCs w:val="32"/>
        </w:rPr>
      </w:pPr>
      <w:r>
        <w:rPr>
          <w:rFonts w:hint="eastAsia" w:ascii="黑体" w:hAnsi="黑体" w:eastAsia="黑体" w:cs="黑体"/>
          <w:sz w:val="32"/>
          <w:szCs w:val="32"/>
        </w:rPr>
        <w:t>附件</w:t>
      </w:r>
      <w:r>
        <w:rPr>
          <w:rFonts w:eastAsia="黑体" w:cs="Times New Roman"/>
          <w:sz w:val="32"/>
          <w:szCs w:val="32"/>
        </w:rPr>
        <w:t>4</w:t>
      </w:r>
    </w:p>
    <w:p>
      <w:pPr>
        <w:spacing w:after="423" w:afterLines="100" w:line="560" w:lineRule="exact"/>
        <w:ind w:firstLine="0" w:firstLineChars="0"/>
        <w:jc w:val="center"/>
        <w:rPr>
          <w:rFonts w:hint="eastAsia" w:ascii="方正小标宋简体" w:eastAsia="方正小标宋简体" w:cs="Times New Roman"/>
          <w:sz w:val="44"/>
          <w:szCs w:val="44"/>
        </w:rPr>
      </w:pPr>
      <w:r>
        <w:rPr>
          <w:rFonts w:hint="eastAsia" w:ascii="方正小标宋简体" w:eastAsia="方正小标宋简体" w:cs="Times New Roman"/>
          <w:sz w:val="44"/>
          <w:szCs w:val="44"/>
        </w:rPr>
        <w:t>高校实验室分级管理要求参照表</w:t>
      </w:r>
    </w:p>
    <w:tbl>
      <w:tblPr>
        <w:tblStyle w:val="5"/>
        <w:tblpPr w:leftFromText="180" w:rightFromText="180" w:vertAnchor="text" w:horzAnchor="page" w:tblpX="1248" w:tblpY="808"/>
        <w:tblOverlap w:val="never"/>
        <w:tblW w:w="89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1"/>
        <w:gridCol w:w="2021"/>
        <w:gridCol w:w="1561"/>
        <w:gridCol w:w="1792"/>
        <w:gridCol w:w="17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91" w:type="dxa"/>
            <w:vMerge w:val="restart"/>
            <w:vAlign w:val="center"/>
          </w:tcPr>
          <w:p>
            <w:pPr>
              <w:spacing w:line="400" w:lineRule="exact"/>
              <w:ind w:firstLine="0" w:firstLineChars="0"/>
              <w:jc w:val="center"/>
              <w:rPr>
                <w:rFonts w:ascii="黑体" w:hAnsi="黑体" w:eastAsia="黑体" w:cs="黑体"/>
                <w:kern w:val="0"/>
                <w:sz w:val="21"/>
                <w:szCs w:val="24"/>
                <w:lang w:val="en-US" w:eastAsia="zh-CN" w:bidi="ar-SA"/>
              </w:rPr>
            </w:pPr>
            <w:r>
              <w:rPr>
                <w:rFonts w:hint="eastAsia" w:ascii="黑体" w:hAnsi="黑体" w:eastAsia="黑体" w:cs="黑体"/>
                <w:b w:val="0"/>
                <w:bCs w:val="0"/>
                <w:kern w:val="0"/>
                <w:szCs w:val="24"/>
              </w:rPr>
              <w:t>管理要求</w:t>
            </w:r>
          </w:p>
        </w:tc>
        <w:tc>
          <w:tcPr>
            <w:tcW w:w="7168" w:type="dxa"/>
            <w:gridSpan w:val="4"/>
            <w:vAlign w:val="center"/>
          </w:tcPr>
          <w:p>
            <w:pPr>
              <w:jc w:val="center"/>
              <w:rPr>
                <w:vertAlign w:val="baseline"/>
              </w:rPr>
            </w:pPr>
            <w:r>
              <w:rPr>
                <w:rFonts w:hint="eastAsia" w:ascii="黑体" w:hAnsi="黑体" w:eastAsia="黑体" w:cs="黑体"/>
                <w:kern w:val="0"/>
                <w:szCs w:val="24"/>
              </w:rPr>
              <w:t>实验室分级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1791" w:type="dxa"/>
            <w:vMerge w:val="continue"/>
            <w:vAlign w:val="top"/>
          </w:tcPr>
          <w:p>
            <w:pPr>
              <w:spacing w:line="400" w:lineRule="exact"/>
              <w:ind w:firstLine="0" w:firstLineChars="0"/>
              <w:jc w:val="center"/>
              <w:rPr>
                <w:rFonts w:ascii="黑体" w:hAnsi="黑体" w:eastAsia="黑体" w:cs="黑体"/>
                <w:kern w:val="0"/>
                <w:sz w:val="21"/>
                <w:szCs w:val="24"/>
                <w:lang w:val="en-US" w:eastAsia="zh-CN" w:bidi="ar-SA"/>
              </w:rPr>
            </w:pPr>
          </w:p>
        </w:tc>
        <w:tc>
          <w:tcPr>
            <w:tcW w:w="2021" w:type="dxa"/>
          </w:tcPr>
          <w:p>
            <w:pPr>
              <w:rPr>
                <w:vertAlign w:val="baseline"/>
              </w:rPr>
            </w:pPr>
            <w:r>
              <w:rPr>
                <w:rFonts w:eastAsia="黑体" w:cs="Times New Roman"/>
                <w:kern w:val="0"/>
                <w:szCs w:val="24"/>
              </w:rPr>
              <w:t>Ⅰ级</w:t>
            </w:r>
            <w:r>
              <w:rPr>
                <w:rFonts w:hint="eastAsia" w:eastAsia="黑体" w:cs="Times New Roman"/>
                <w:kern w:val="0"/>
                <w:szCs w:val="24"/>
              </w:rPr>
              <w:t>/红色级</w:t>
            </w:r>
            <w:r>
              <w:rPr>
                <w:rFonts w:eastAsia="黑体" w:cs="Times New Roman"/>
                <w:kern w:val="0"/>
                <w:szCs w:val="24"/>
              </w:rPr>
              <w:t>实验室</w:t>
            </w:r>
          </w:p>
        </w:tc>
        <w:tc>
          <w:tcPr>
            <w:tcW w:w="1561" w:type="dxa"/>
          </w:tcPr>
          <w:p>
            <w:pPr>
              <w:rPr>
                <w:vertAlign w:val="baseline"/>
              </w:rPr>
            </w:pPr>
            <w:r>
              <w:rPr>
                <w:rFonts w:eastAsia="黑体" w:cs="Times New Roman"/>
                <w:kern w:val="0"/>
                <w:szCs w:val="24"/>
              </w:rPr>
              <w:t>Ⅱ级</w:t>
            </w:r>
            <w:r>
              <w:rPr>
                <w:rFonts w:hint="eastAsia" w:eastAsia="黑体" w:cs="Times New Roman"/>
                <w:kern w:val="0"/>
                <w:szCs w:val="24"/>
              </w:rPr>
              <w:t>/橙色级</w:t>
            </w:r>
            <w:r>
              <w:rPr>
                <w:rFonts w:eastAsia="黑体" w:cs="Times New Roman"/>
                <w:kern w:val="0"/>
                <w:szCs w:val="24"/>
              </w:rPr>
              <w:t>实验室</w:t>
            </w:r>
          </w:p>
        </w:tc>
        <w:tc>
          <w:tcPr>
            <w:tcW w:w="1792" w:type="dxa"/>
            <w:vAlign w:val="top"/>
          </w:tcPr>
          <w:p>
            <w:pPr>
              <w:spacing w:line="400" w:lineRule="exact"/>
              <w:ind w:firstLine="0" w:firstLineChars="0"/>
              <w:jc w:val="center"/>
              <w:rPr>
                <w:rFonts w:eastAsia="黑体" w:cs="Times New Roman" w:asciiTheme="minorHAnsi" w:hAnsiTheme="minorHAnsi"/>
                <w:kern w:val="0"/>
                <w:sz w:val="21"/>
                <w:szCs w:val="24"/>
                <w:lang w:val="en-US" w:eastAsia="zh-CN" w:bidi="ar-SA"/>
              </w:rPr>
            </w:pPr>
            <w:r>
              <w:rPr>
                <w:rFonts w:eastAsia="黑体" w:cs="Times New Roman"/>
                <w:kern w:val="0"/>
                <w:szCs w:val="24"/>
              </w:rPr>
              <w:t>Ⅲ级</w:t>
            </w:r>
            <w:r>
              <w:rPr>
                <w:rFonts w:hint="eastAsia" w:eastAsia="黑体" w:cs="Times New Roman"/>
                <w:kern w:val="0"/>
                <w:szCs w:val="24"/>
              </w:rPr>
              <w:t>/黄色级</w:t>
            </w:r>
            <w:r>
              <w:rPr>
                <w:rFonts w:eastAsia="黑体" w:cs="Times New Roman"/>
                <w:kern w:val="0"/>
                <w:szCs w:val="24"/>
              </w:rPr>
              <w:t>实验室</w:t>
            </w:r>
          </w:p>
        </w:tc>
        <w:tc>
          <w:tcPr>
            <w:tcW w:w="1794" w:type="dxa"/>
            <w:vAlign w:val="top"/>
          </w:tcPr>
          <w:p>
            <w:pPr>
              <w:spacing w:line="400" w:lineRule="exact"/>
              <w:ind w:firstLine="0" w:firstLineChars="0"/>
              <w:jc w:val="center"/>
              <w:rPr>
                <w:rFonts w:eastAsia="黑体" w:cs="Times New Roman" w:asciiTheme="minorHAnsi" w:hAnsiTheme="minorHAnsi"/>
                <w:kern w:val="0"/>
                <w:sz w:val="21"/>
                <w:szCs w:val="24"/>
                <w:lang w:val="en-US" w:eastAsia="zh-CN" w:bidi="ar-SA"/>
              </w:rPr>
            </w:pPr>
            <w:r>
              <w:rPr>
                <w:rFonts w:eastAsia="黑体" w:cs="Times New Roman"/>
                <w:kern w:val="0"/>
                <w:szCs w:val="24"/>
              </w:rPr>
              <w:t>Ⅳ级</w:t>
            </w:r>
            <w:r>
              <w:rPr>
                <w:rFonts w:hint="eastAsia" w:eastAsia="黑体" w:cs="Times New Roman"/>
                <w:kern w:val="0"/>
                <w:szCs w:val="24"/>
              </w:rPr>
              <w:t>/蓝色级</w:t>
            </w:r>
            <w:r>
              <w:rPr>
                <w:rFonts w:eastAsia="黑体" w:cs="Times New Roman"/>
                <w:kern w:val="0"/>
                <w:szCs w:val="24"/>
              </w:rPr>
              <w:t>实验室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trPr>
        <w:tc>
          <w:tcPr>
            <w:tcW w:w="1791" w:type="dxa"/>
            <w:vAlign w:val="center"/>
          </w:tcPr>
          <w:p>
            <w:pPr>
              <w:spacing w:line="400" w:lineRule="exact"/>
              <w:ind w:firstLine="0" w:firstLineChars="0"/>
              <w:jc w:val="center"/>
              <w:rPr>
                <w:rFonts w:ascii="楷体" w:hAnsi="楷体" w:eastAsia="楷体" w:cs="楷体"/>
                <w:kern w:val="0"/>
                <w:sz w:val="21"/>
                <w:szCs w:val="24"/>
                <w:lang w:val="en-US" w:eastAsia="zh-CN" w:bidi="ar-SA"/>
              </w:rPr>
            </w:pPr>
            <w:r>
              <w:rPr>
                <w:rFonts w:hint="eastAsia" w:ascii="楷体" w:hAnsi="楷体" w:eastAsia="楷体" w:cs="楷体"/>
                <w:kern w:val="0"/>
                <w:szCs w:val="24"/>
              </w:rPr>
              <w:t>安全检查</w:t>
            </w:r>
          </w:p>
        </w:tc>
        <w:tc>
          <w:tcPr>
            <w:tcW w:w="2021"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eastAsia="仿宋_GB2312" w:cs="Times New Roman"/>
                <w:kern w:val="0"/>
                <w:szCs w:val="24"/>
              </w:rPr>
              <w:t>学校党政主要负责人每年牵头开展不少于1次安全检查；学校主管职能部门每月开展不少于1次安全检查；二级单位每周开展不少于1次安全检查；实验室做到“实验结束必巡”</w:t>
            </w:r>
          </w:p>
        </w:tc>
        <w:tc>
          <w:tcPr>
            <w:tcW w:w="1561"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eastAsia="仿宋_GB2312" w:cs="Times New Roman"/>
                <w:kern w:val="0"/>
                <w:szCs w:val="24"/>
              </w:rPr>
              <w:t>分管校领导每年牵头开展不少于1次安全检查；学校主管职能部门每季度开展不少于1次安全检查；二级单位每月开展不少于1次安全检查；实验室做到“实验结束必巡”</w:t>
            </w:r>
          </w:p>
        </w:tc>
        <w:tc>
          <w:tcPr>
            <w:tcW w:w="1792"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eastAsia="仿宋_GB2312" w:cs="Times New Roman"/>
                <w:kern w:val="0"/>
                <w:szCs w:val="24"/>
              </w:rPr>
              <w:t>学校主管职能部门每半年开展不少于1次安全检查</w:t>
            </w:r>
            <w:r>
              <w:rPr>
                <w:rFonts w:hint="eastAsia" w:eastAsia="仿宋_GB2312" w:cs="Times New Roman"/>
                <w:kern w:val="0"/>
                <w:szCs w:val="24"/>
              </w:rPr>
              <w:t>；</w:t>
            </w:r>
            <w:r>
              <w:rPr>
                <w:rFonts w:eastAsia="仿宋_GB2312" w:cs="Times New Roman"/>
                <w:kern w:val="0"/>
                <w:szCs w:val="24"/>
              </w:rPr>
              <w:t>二级单位每季度开展不少于1次安全检查</w:t>
            </w:r>
            <w:r>
              <w:rPr>
                <w:rFonts w:hint="eastAsia" w:eastAsia="仿宋_GB2312" w:cs="Times New Roman"/>
                <w:kern w:val="0"/>
                <w:szCs w:val="24"/>
              </w:rPr>
              <w:t>；</w:t>
            </w:r>
            <w:r>
              <w:rPr>
                <w:rFonts w:eastAsia="仿宋_GB2312" w:cs="Times New Roman"/>
                <w:kern w:val="0"/>
                <w:szCs w:val="24"/>
              </w:rPr>
              <w:t>实验室做到经常性检查</w:t>
            </w:r>
          </w:p>
        </w:tc>
        <w:tc>
          <w:tcPr>
            <w:tcW w:w="1794"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eastAsia="仿宋_GB2312" w:cs="Times New Roman"/>
                <w:kern w:val="0"/>
                <w:szCs w:val="24"/>
              </w:rPr>
              <w:t>学校主管职能部门每年开展不少于1次安全检查</w:t>
            </w:r>
            <w:r>
              <w:rPr>
                <w:rFonts w:hint="eastAsia" w:eastAsia="仿宋_GB2312" w:cs="Times New Roman"/>
                <w:kern w:val="0"/>
                <w:szCs w:val="24"/>
              </w:rPr>
              <w:t>；</w:t>
            </w:r>
            <w:r>
              <w:rPr>
                <w:rFonts w:eastAsia="仿宋_GB2312" w:cs="Times New Roman"/>
                <w:kern w:val="0"/>
                <w:szCs w:val="24"/>
              </w:rPr>
              <w:t>二级单位每半年开展不少于1次安全检查</w:t>
            </w:r>
            <w:r>
              <w:rPr>
                <w:rFonts w:hint="eastAsia" w:eastAsia="仿宋_GB2312" w:cs="Times New Roman"/>
                <w:kern w:val="0"/>
                <w:szCs w:val="24"/>
              </w:rPr>
              <w:t>；</w:t>
            </w:r>
            <w:r>
              <w:rPr>
                <w:rFonts w:eastAsia="仿宋_GB2312" w:cs="Times New Roman"/>
                <w:kern w:val="0"/>
                <w:szCs w:val="24"/>
              </w:rPr>
              <w:t>实验室做到经常性检查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8" w:hRule="atLeast"/>
        </w:trPr>
        <w:tc>
          <w:tcPr>
            <w:tcW w:w="1791" w:type="dxa"/>
            <w:vAlign w:val="center"/>
          </w:tcPr>
          <w:p>
            <w:pPr>
              <w:spacing w:line="400" w:lineRule="exact"/>
              <w:ind w:firstLine="0" w:firstLineChars="0"/>
              <w:jc w:val="center"/>
              <w:rPr>
                <w:rFonts w:ascii="楷体" w:hAnsi="楷体" w:eastAsia="楷体" w:cs="楷体"/>
                <w:kern w:val="0"/>
                <w:sz w:val="21"/>
                <w:szCs w:val="24"/>
                <w:lang w:val="en-US" w:eastAsia="zh-CN" w:bidi="ar-SA"/>
              </w:rPr>
            </w:pPr>
            <w:r>
              <w:rPr>
                <w:rFonts w:hint="eastAsia" w:ascii="楷体" w:hAnsi="楷体" w:eastAsia="楷体" w:cs="楷体"/>
                <w:kern w:val="0"/>
                <w:szCs w:val="24"/>
              </w:rPr>
              <w:t>安全培训</w:t>
            </w:r>
          </w:p>
        </w:tc>
        <w:tc>
          <w:tcPr>
            <w:tcW w:w="2021"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hint="eastAsia" w:eastAsia="仿宋_GB2312" w:cs="Times New Roman"/>
                <w:kern w:val="0"/>
                <w:szCs w:val="24"/>
              </w:rPr>
              <w:t>实验室安全管理人员、实验人员完成不少于24学时的准入安全培训，之后每年完成不少于8学时的</w:t>
            </w:r>
            <w:r>
              <w:rPr>
                <w:rFonts w:eastAsia="仿宋_GB2312" w:cs="Times New Roman"/>
                <w:kern w:val="0"/>
                <w:szCs w:val="24"/>
              </w:rPr>
              <w:t>安全培训（</w:t>
            </w:r>
            <w:r>
              <w:rPr>
                <w:rFonts w:hint="eastAsia" w:eastAsia="仿宋_GB2312" w:cs="Times New Roman"/>
                <w:kern w:val="0"/>
                <w:szCs w:val="24"/>
              </w:rPr>
              <w:t>以上均</w:t>
            </w:r>
            <w:r>
              <w:rPr>
                <w:rFonts w:eastAsia="仿宋_GB2312" w:cs="Times New Roman"/>
                <w:kern w:val="0"/>
                <w:szCs w:val="24"/>
              </w:rPr>
              <w:t>含应急演练）；每年开展不少于2次应急演练</w:t>
            </w:r>
            <w:r>
              <w:rPr>
                <w:rFonts w:hint="eastAsia" w:eastAsia="仿宋_GB2312" w:cs="Times New Roman"/>
                <w:kern w:val="0"/>
                <w:szCs w:val="24"/>
              </w:rPr>
              <w:t>（含针对重要危险源的应急演练）</w:t>
            </w:r>
          </w:p>
        </w:tc>
        <w:tc>
          <w:tcPr>
            <w:tcW w:w="1561"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hint="eastAsia" w:eastAsia="仿宋_GB2312" w:cs="Times New Roman"/>
                <w:kern w:val="0"/>
                <w:szCs w:val="24"/>
              </w:rPr>
              <w:t>实验室安全管理人员、实验人员完成不少于16学时的准入安全培训，之后每年完成不少于4学时的</w:t>
            </w:r>
            <w:r>
              <w:rPr>
                <w:rFonts w:eastAsia="仿宋_GB2312" w:cs="Times New Roman"/>
                <w:kern w:val="0"/>
                <w:szCs w:val="24"/>
              </w:rPr>
              <w:t>安全培训（</w:t>
            </w:r>
            <w:r>
              <w:rPr>
                <w:rFonts w:hint="eastAsia" w:eastAsia="仿宋_GB2312" w:cs="Times New Roman"/>
                <w:kern w:val="0"/>
                <w:szCs w:val="24"/>
              </w:rPr>
              <w:t>以上均</w:t>
            </w:r>
            <w:r>
              <w:rPr>
                <w:rFonts w:eastAsia="仿宋_GB2312" w:cs="Times New Roman"/>
                <w:kern w:val="0"/>
                <w:szCs w:val="24"/>
              </w:rPr>
              <w:t>含应急演练）；每年开展不少于1次应急演练</w:t>
            </w:r>
            <w:r>
              <w:rPr>
                <w:rFonts w:hint="eastAsia" w:eastAsia="仿宋_GB2312" w:cs="Times New Roman"/>
                <w:kern w:val="0"/>
                <w:szCs w:val="24"/>
              </w:rPr>
              <w:t>（含针对重要危险源的应急演练）</w:t>
            </w:r>
          </w:p>
        </w:tc>
        <w:tc>
          <w:tcPr>
            <w:tcW w:w="1792"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hint="eastAsia" w:eastAsia="仿宋_GB2312" w:cs="Times New Roman"/>
                <w:kern w:val="0"/>
                <w:szCs w:val="24"/>
              </w:rPr>
              <w:t>实验室安全管理人员、实验人员完成不少于8学时的准入安全培训，之后每年完成不少于2学时的</w:t>
            </w:r>
            <w:r>
              <w:rPr>
                <w:rFonts w:eastAsia="仿宋_GB2312" w:cs="Times New Roman"/>
                <w:kern w:val="0"/>
                <w:szCs w:val="24"/>
              </w:rPr>
              <w:t>安全培训（</w:t>
            </w:r>
            <w:r>
              <w:rPr>
                <w:rFonts w:hint="eastAsia" w:eastAsia="仿宋_GB2312" w:cs="Times New Roman"/>
                <w:kern w:val="0"/>
                <w:szCs w:val="24"/>
              </w:rPr>
              <w:t>以上均</w:t>
            </w:r>
            <w:r>
              <w:rPr>
                <w:rFonts w:eastAsia="仿宋_GB2312" w:cs="Times New Roman"/>
                <w:kern w:val="0"/>
                <w:szCs w:val="24"/>
              </w:rPr>
              <w:t>含应急演练）；实验室每年开展不少于1次应急演练</w:t>
            </w:r>
          </w:p>
        </w:tc>
        <w:tc>
          <w:tcPr>
            <w:tcW w:w="1794"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hint="eastAsia" w:eastAsia="仿宋_GB2312" w:cs="Times New Roman"/>
                <w:kern w:val="0"/>
                <w:szCs w:val="24"/>
              </w:rPr>
              <w:t>实验室安全管理人员、实验人员完成不少于4学时的准入安全培训，之后每年根据学校实际需要安排适量的</w:t>
            </w:r>
            <w:r>
              <w:rPr>
                <w:rFonts w:eastAsia="仿宋_GB2312" w:cs="Times New Roman"/>
                <w:kern w:val="0"/>
                <w:szCs w:val="24"/>
              </w:rPr>
              <w:t>安全培训（</w:t>
            </w:r>
            <w:r>
              <w:rPr>
                <w:rFonts w:hint="eastAsia" w:eastAsia="仿宋_GB2312" w:cs="Times New Roman"/>
                <w:kern w:val="0"/>
                <w:szCs w:val="24"/>
              </w:rPr>
              <w:t>以上均</w:t>
            </w:r>
            <w:r>
              <w:rPr>
                <w:rFonts w:eastAsia="仿宋_GB2312" w:cs="Times New Roman"/>
                <w:kern w:val="0"/>
                <w:szCs w:val="24"/>
              </w:rPr>
              <w:t>含应急演练）；每年开展不少于1次应急演练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6" w:hRule="atLeast"/>
        </w:trPr>
        <w:tc>
          <w:tcPr>
            <w:tcW w:w="1791" w:type="dxa"/>
            <w:vAlign w:val="center"/>
          </w:tcPr>
          <w:p>
            <w:pPr>
              <w:spacing w:line="400" w:lineRule="exact"/>
              <w:ind w:firstLine="0" w:firstLineChars="0"/>
              <w:jc w:val="center"/>
              <w:rPr>
                <w:rFonts w:ascii="楷体" w:hAnsi="楷体" w:eastAsia="楷体" w:cs="楷体"/>
                <w:kern w:val="0"/>
                <w:sz w:val="21"/>
                <w:szCs w:val="24"/>
                <w:lang w:val="en-US" w:eastAsia="zh-CN" w:bidi="ar-SA"/>
              </w:rPr>
            </w:pPr>
            <w:r>
              <w:rPr>
                <w:rFonts w:hint="eastAsia" w:ascii="楷体" w:hAnsi="楷体" w:eastAsia="楷体" w:cs="楷体"/>
                <w:kern w:val="0"/>
                <w:szCs w:val="24"/>
              </w:rPr>
              <w:t>安全评估</w:t>
            </w:r>
          </w:p>
        </w:tc>
        <w:tc>
          <w:tcPr>
            <w:tcW w:w="2021"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hint="eastAsia" w:eastAsia="仿宋_GB2312" w:cs="Times New Roman"/>
                <w:kern w:val="0"/>
                <w:szCs w:val="24"/>
              </w:rPr>
              <w:t>科研项目、学生课题等实验活动应进行安全风险评估；涉及重要危险源的实验活动应在二级单位备案，学校不定期抽查；</w:t>
            </w:r>
            <w:r>
              <w:rPr>
                <w:rFonts w:eastAsia="仿宋_GB2312" w:cs="Times New Roman"/>
                <w:kern w:val="0"/>
                <w:szCs w:val="24"/>
              </w:rPr>
              <w:t>针对重要危险源制定相应的管理办法和应急措施，责任到人</w:t>
            </w:r>
            <w:r>
              <w:rPr>
                <w:rFonts w:hint="eastAsia" w:eastAsia="仿宋_GB2312" w:cs="Times New Roman"/>
                <w:kern w:val="0"/>
                <w:szCs w:val="24"/>
              </w:rPr>
              <w:t>；每年开展不少于1次针对重要危险源的应急演练</w:t>
            </w:r>
          </w:p>
        </w:tc>
        <w:tc>
          <w:tcPr>
            <w:tcW w:w="1561"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hint="eastAsia" w:eastAsia="仿宋_GB2312" w:cs="Times New Roman"/>
                <w:kern w:val="0"/>
                <w:szCs w:val="24"/>
              </w:rPr>
              <w:t>科研项目、学生课题等实验活动应进行安全风险评估；涉及重要危险源的实验活动应在二级单位备案，学校不定期抽查；</w:t>
            </w:r>
            <w:r>
              <w:rPr>
                <w:rFonts w:eastAsia="仿宋_GB2312" w:cs="Times New Roman"/>
                <w:kern w:val="0"/>
                <w:szCs w:val="24"/>
              </w:rPr>
              <w:t>针对重要危险源制定相应的管理办法和应急措施，责任到人</w:t>
            </w:r>
            <w:r>
              <w:rPr>
                <w:rFonts w:hint="eastAsia" w:eastAsia="仿宋_GB2312" w:cs="Times New Roman"/>
                <w:kern w:val="0"/>
                <w:szCs w:val="24"/>
              </w:rPr>
              <w:t>；每年开展不少于1次针对重要危险源的应急演练</w:t>
            </w:r>
          </w:p>
        </w:tc>
        <w:tc>
          <w:tcPr>
            <w:tcW w:w="1792"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hint="eastAsia" w:eastAsia="仿宋_GB2312" w:cs="Times New Roman"/>
                <w:kern w:val="0"/>
                <w:szCs w:val="24"/>
              </w:rPr>
              <w:t>科研项目、学生课题等实验活动应进行安全风险评估；涉及重要危险源的实验活动应在二级单位备案，二级单位不定期抽查；二级单位判断如有必要，可临时按更高等级实验室安全要求进行管理</w:t>
            </w:r>
          </w:p>
        </w:tc>
        <w:tc>
          <w:tcPr>
            <w:tcW w:w="1794"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hint="eastAsia" w:eastAsia="仿宋_GB2312" w:cs="Times New Roman"/>
                <w:kern w:val="0"/>
                <w:szCs w:val="24"/>
              </w:rPr>
              <w:t>科研项目、学生课题等实验活动应进行安全风险评估；涉及重要危险源的实验活动应在二级单位备案，二级单位不定期抽查；二级单位判断如有必要，可临时按更高等级实验室安全要求进行管理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8" w:hRule="atLeast"/>
        </w:trPr>
        <w:tc>
          <w:tcPr>
            <w:tcW w:w="1791" w:type="dxa"/>
            <w:vAlign w:val="center"/>
          </w:tcPr>
          <w:p>
            <w:pPr>
              <w:spacing w:line="400" w:lineRule="exact"/>
              <w:ind w:firstLine="0" w:firstLineChars="0"/>
              <w:jc w:val="center"/>
              <w:rPr>
                <w:rFonts w:ascii="楷体" w:hAnsi="楷体" w:eastAsia="楷体" w:cs="楷体"/>
                <w:kern w:val="0"/>
                <w:sz w:val="21"/>
                <w:szCs w:val="24"/>
                <w:lang w:val="en-US" w:eastAsia="zh-CN" w:bidi="ar-SA"/>
              </w:rPr>
            </w:pPr>
            <w:r>
              <w:rPr>
                <w:rFonts w:hint="eastAsia" w:ascii="楷体" w:hAnsi="楷体" w:eastAsia="楷体" w:cs="楷体"/>
                <w:kern w:val="0"/>
                <w:szCs w:val="24"/>
              </w:rPr>
              <w:t>条件保障</w:t>
            </w:r>
          </w:p>
        </w:tc>
        <w:tc>
          <w:tcPr>
            <w:tcW w:w="2021"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eastAsia="仿宋_GB2312" w:cs="Times New Roman"/>
                <w:kern w:val="0"/>
                <w:szCs w:val="24"/>
              </w:rPr>
              <w:t>高风险点位安装监控和必要的监测报警装置；危化品等重要危险源存储严格执行治安管控或其他部门监管要求；配备</w:t>
            </w:r>
            <w:r>
              <w:rPr>
                <w:rFonts w:hint="eastAsia" w:eastAsia="仿宋_GB2312" w:cs="Times New Roman"/>
                <w:kern w:val="0"/>
                <w:szCs w:val="24"/>
              </w:rPr>
              <w:t>充足的</w:t>
            </w:r>
            <w:r>
              <w:rPr>
                <w:rFonts w:eastAsia="仿宋_GB2312" w:cs="Times New Roman"/>
                <w:kern w:val="0"/>
                <w:szCs w:val="24"/>
              </w:rPr>
              <w:t>专职实验室安全管理人员；配备必要的个体防护设备设施</w:t>
            </w:r>
          </w:p>
        </w:tc>
        <w:tc>
          <w:tcPr>
            <w:tcW w:w="1561"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eastAsia="仿宋_GB2312" w:cs="Times New Roman"/>
                <w:kern w:val="0"/>
                <w:szCs w:val="24"/>
              </w:rPr>
              <w:t>高风险点位安装监控和必要的监测报警装置；危化品等重要危险源存储严格执行治安管控或其他部门监管要求；配备</w:t>
            </w:r>
            <w:r>
              <w:rPr>
                <w:rFonts w:hint="eastAsia" w:eastAsia="仿宋_GB2312" w:cs="Times New Roman"/>
                <w:kern w:val="0"/>
                <w:szCs w:val="24"/>
              </w:rPr>
              <w:t>充足的</w:t>
            </w:r>
            <w:r>
              <w:rPr>
                <w:rFonts w:eastAsia="仿宋_GB2312" w:cs="Times New Roman"/>
                <w:kern w:val="0"/>
                <w:szCs w:val="24"/>
              </w:rPr>
              <w:t>专职实验室安全管理人员；配备必要的个体防护设备设施</w:t>
            </w:r>
          </w:p>
        </w:tc>
        <w:tc>
          <w:tcPr>
            <w:tcW w:w="1792"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eastAsia="仿宋_GB2312" w:cs="Times New Roman"/>
                <w:kern w:val="0"/>
                <w:szCs w:val="24"/>
              </w:rPr>
              <w:t>在重要风险点位安装监控和必要的监测报警装置；配备</w:t>
            </w:r>
            <w:r>
              <w:rPr>
                <w:rFonts w:hint="eastAsia" w:eastAsia="仿宋_GB2312" w:cs="Times New Roman"/>
                <w:kern w:val="0"/>
                <w:szCs w:val="24"/>
              </w:rPr>
              <w:t>充足的</w:t>
            </w:r>
            <w:r>
              <w:rPr>
                <w:rFonts w:eastAsia="仿宋_GB2312" w:cs="Times New Roman"/>
                <w:kern w:val="0"/>
                <w:szCs w:val="24"/>
              </w:rPr>
              <w:t>兼职实验室安全管理人员；配备必要的个体防护设备设施</w:t>
            </w:r>
          </w:p>
        </w:tc>
        <w:tc>
          <w:tcPr>
            <w:tcW w:w="1794" w:type="dxa"/>
            <w:vAlign w:val="center"/>
          </w:tcPr>
          <w:p>
            <w:pPr>
              <w:spacing w:line="400" w:lineRule="exact"/>
              <w:ind w:firstLine="0" w:firstLineChars="0"/>
              <w:rPr>
                <w:rFonts w:eastAsia="仿宋_GB2312" w:cs="Times New Roman" w:asciiTheme="minorHAnsi" w:hAnsiTheme="minorHAnsi"/>
                <w:kern w:val="0"/>
                <w:sz w:val="21"/>
                <w:szCs w:val="24"/>
                <w:lang w:val="en-US" w:eastAsia="zh-CN" w:bidi="ar-SA"/>
              </w:rPr>
            </w:pPr>
            <w:r>
              <w:rPr>
                <w:rFonts w:eastAsia="仿宋_GB2312" w:cs="Times New Roman"/>
                <w:kern w:val="0"/>
                <w:szCs w:val="24"/>
              </w:rPr>
              <w:t>配备</w:t>
            </w:r>
            <w:r>
              <w:rPr>
                <w:rFonts w:hint="eastAsia" w:eastAsia="仿宋_GB2312" w:cs="Times New Roman"/>
                <w:kern w:val="0"/>
                <w:szCs w:val="24"/>
              </w:rPr>
              <w:t>必要的</w:t>
            </w:r>
            <w:r>
              <w:rPr>
                <w:rFonts w:eastAsia="仿宋_GB2312" w:cs="Times New Roman"/>
                <w:kern w:val="0"/>
                <w:szCs w:val="24"/>
              </w:rPr>
              <w:t>兼职实验室安全管理人员；配备必要的个体防护设备设施</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17AB3"/>
    <w:multiLevelType w:val="singleLevel"/>
    <w:tmpl w:val="E8C17AB3"/>
    <w:lvl w:ilvl="0" w:tentative="0">
      <w:start w:val="1"/>
      <w:numFmt w:val="decimal"/>
      <w:suff w:val="nothing"/>
      <w:lvlText w:val="（%1）"/>
      <w:lvlJc w:val="left"/>
    </w:lvl>
  </w:abstractNum>
  <w:abstractNum w:abstractNumId="1">
    <w:nsid w:val="1E00253F"/>
    <w:multiLevelType w:val="multilevel"/>
    <w:tmpl w:val="1E00253F"/>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34F83913"/>
    <w:multiLevelType w:val="multilevel"/>
    <w:tmpl w:val="34F83913"/>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6A2300E8"/>
    <w:multiLevelType w:val="multilevel"/>
    <w:tmpl w:val="6A2300E8"/>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
    <w:nsid w:val="6B1E2370"/>
    <w:multiLevelType w:val="multilevel"/>
    <w:tmpl w:val="6B1E2370"/>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
    <w:nsid w:val="711A52BB"/>
    <w:multiLevelType w:val="multilevel"/>
    <w:tmpl w:val="711A52BB"/>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759B018B"/>
    <w:multiLevelType w:val="multilevel"/>
    <w:tmpl w:val="759B018B"/>
    <w:lvl w:ilvl="0" w:tentative="0">
      <w:start w:val="1"/>
      <w:numFmt w:val="decimal"/>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5"/>
  </w:num>
  <w:num w:numId="2">
    <w:abstractNumId w:val="4"/>
  </w:num>
  <w:num w:numId="3">
    <w:abstractNumId w:val="1"/>
  </w:num>
  <w:num w:numId="4">
    <w:abstractNumId w:val="2"/>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4NTliZGQ0OTVmMDI3YmVjN2MxZWRkMzFkNjgzNmYifQ=="/>
  </w:docVars>
  <w:rsids>
    <w:rsidRoot w:val="00000000"/>
    <w:rsid w:val="0ECC2C87"/>
    <w:rsid w:val="2A1D7767"/>
    <w:rsid w:val="5AB02C48"/>
    <w:rsid w:val="69026B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table" w:styleId="5">
    <w:name w:val="Table Grid"/>
    <w:basedOn w:val="4"/>
    <w:unhideWhenUsed/>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Strong"/>
    <w:basedOn w:val="6"/>
    <w:qFormat/>
    <w:uiPriority w:val="0"/>
    <w:rPr>
      <w:b/>
    </w:rPr>
  </w:style>
  <w:style w:type="character" w:styleId="8">
    <w:name w:val="Hyperlink"/>
    <w:basedOn w:val="6"/>
    <w:uiPriority w:val="0"/>
    <w:rPr>
      <w:color w:val="0000FF"/>
      <w:u w:val="single"/>
    </w:rPr>
  </w:style>
  <w:style w:type="paragraph" w:styleId="9">
    <w:name w:val="List Paragraph"/>
    <w:basedOn w:val="1"/>
    <w:autoRedefine/>
    <w:qFormat/>
    <w:uiPriority w:val="34"/>
    <w:pPr>
      <w:ind w:firstLine="4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5593</Words>
  <Characters>5768</Characters>
  <Lines>0</Lines>
  <Paragraphs>0</Paragraphs>
  <TotalTime>104</TotalTime>
  <ScaleCrop>false</ScaleCrop>
  <LinksUpToDate>false</LinksUpToDate>
  <CharactersWithSpaces>5862</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2024-05-20T07:47:00Z</dcterms:created>
  <dc:creator>Administrator</dc:creator>
  <cp:lastModifiedBy>Administrator</cp:lastModifiedBy>
  <cp:lastPrinted>2024-06-06T09:01:27Z</cp:lastPrinted>
  <dcterms:modified xsi:type="dcterms:W3CDTF">2024-06-06T09:24:45Z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5C78E735ED9540E384B0476817297AD4_12</vt:lpwstr>
  </property>
</Properties>
</file>